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C3769" w14:textId="49799624" w:rsidR="00F80596" w:rsidRPr="00F80596" w:rsidRDefault="00BC593F" w:rsidP="00F80596">
      <w:pPr>
        <w:spacing w:after="120" w:line="240" w:lineRule="auto"/>
        <w:contextualSpacing/>
        <w:jc w:val="center"/>
        <w:rPr>
          <w:rFonts w:ascii="Times New Roman" w:eastAsia="Times New Roman" w:hAnsi="Times New Roman" w:cs="Times New Roman"/>
          <w:b/>
          <w:bCs/>
          <w:color w:val="262626"/>
          <w:spacing w:val="-15"/>
          <w:kern w:val="0"/>
          <w:sz w:val="48"/>
          <w:szCs w:val="48"/>
          <w:lang w:eastAsia="en-GB"/>
          <w14:ligatures w14:val="none"/>
        </w:rPr>
      </w:pPr>
      <w:r>
        <w:rPr>
          <w:rFonts w:ascii="Times New Roman" w:eastAsia="Times New Roman" w:hAnsi="Times New Roman" w:cs="Times New Roman"/>
          <w:b/>
          <w:bCs/>
          <w:color w:val="262626"/>
          <w:spacing w:val="-15"/>
          <w:kern w:val="0"/>
          <w:sz w:val="48"/>
          <w:szCs w:val="48"/>
          <w:lang w:eastAsia="en-GB"/>
          <w14:ligatures w14:val="none"/>
        </w:rPr>
        <w:t>School absences, exclusions and crim</w:t>
      </w:r>
      <w:r w:rsidR="00573EE3">
        <w:rPr>
          <w:rFonts w:ascii="Times New Roman" w:eastAsia="Times New Roman" w:hAnsi="Times New Roman" w:cs="Times New Roman"/>
          <w:b/>
          <w:bCs/>
          <w:color w:val="262626"/>
          <w:spacing w:val="-15"/>
          <w:kern w:val="0"/>
          <w:sz w:val="48"/>
          <w:szCs w:val="48"/>
          <w:lang w:eastAsia="en-GB"/>
          <w14:ligatures w14:val="none"/>
        </w:rPr>
        <w:t>inal sentences</w:t>
      </w:r>
      <w:r>
        <w:rPr>
          <w:rFonts w:ascii="Times New Roman" w:eastAsia="Times New Roman" w:hAnsi="Times New Roman" w:cs="Times New Roman"/>
          <w:b/>
          <w:bCs/>
          <w:color w:val="262626"/>
          <w:spacing w:val="-15"/>
          <w:kern w:val="0"/>
          <w:sz w:val="48"/>
          <w:szCs w:val="48"/>
          <w:lang w:eastAsia="en-GB"/>
          <w14:ligatures w14:val="none"/>
        </w:rPr>
        <w:t xml:space="preserve"> </w:t>
      </w:r>
      <w:r w:rsidR="00573EE3">
        <w:rPr>
          <w:rFonts w:ascii="Times New Roman" w:eastAsia="Times New Roman" w:hAnsi="Times New Roman" w:cs="Times New Roman"/>
          <w:b/>
          <w:bCs/>
          <w:color w:val="262626"/>
          <w:spacing w:val="-15"/>
          <w:kern w:val="0"/>
          <w:sz w:val="48"/>
          <w:szCs w:val="48"/>
          <w:lang w:eastAsia="en-GB"/>
          <w14:ligatures w14:val="none"/>
        </w:rPr>
        <w:t>amongst</w:t>
      </w:r>
      <w:r>
        <w:rPr>
          <w:rFonts w:ascii="Times New Roman" w:eastAsia="Times New Roman" w:hAnsi="Times New Roman" w:cs="Times New Roman"/>
          <w:b/>
          <w:bCs/>
          <w:color w:val="262626"/>
          <w:spacing w:val="-15"/>
          <w:kern w:val="0"/>
          <w:sz w:val="48"/>
          <w:szCs w:val="48"/>
          <w:lang w:eastAsia="en-GB"/>
          <w14:ligatures w14:val="none"/>
        </w:rPr>
        <w:t xml:space="preserve"> high-achieving children from disadvantaged socio-economic backgrounds</w:t>
      </w:r>
    </w:p>
    <w:p w14:paraId="31BE11DB" w14:textId="77777777" w:rsidR="00BC593F" w:rsidRDefault="00BC593F" w:rsidP="00F80596">
      <w:pPr>
        <w:spacing w:after="120" w:line="240" w:lineRule="auto"/>
        <w:jc w:val="center"/>
        <w:rPr>
          <w:rFonts w:ascii="Times New Roman" w:eastAsia="Times New Roman" w:hAnsi="Times New Roman" w:cs="Times New Roman"/>
          <w:bCs/>
          <w:kern w:val="0"/>
          <w:sz w:val="24"/>
          <w:szCs w:val="24"/>
          <w14:ligatures w14:val="none"/>
        </w:rPr>
      </w:pPr>
    </w:p>
    <w:p w14:paraId="7D3D8022" w14:textId="1ADDFCED" w:rsidR="00F80596" w:rsidRPr="00095659" w:rsidRDefault="00F80596" w:rsidP="00095659">
      <w:pPr>
        <w:spacing w:after="120" w:line="240" w:lineRule="auto"/>
        <w:jc w:val="center"/>
        <w:rPr>
          <w:rFonts w:ascii="Times New Roman" w:eastAsia="Times New Roman" w:hAnsi="Times New Roman" w:cs="Times New Roman"/>
          <w:bCs/>
          <w:kern w:val="0"/>
          <w:sz w:val="24"/>
          <w:szCs w:val="24"/>
          <w14:ligatures w14:val="none"/>
        </w:rPr>
      </w:pPr>
      <w:r w:rsidRPr="00F80596">
        <w:rPr>
          <w:rFonts w:ascii="Times New Roman" w:eastAsia="Times New Roman" w:hAnsi="Times New Roman" w:cs="Times New Roman"/>
          <w:bCs/>
          <w:kern w:val="0"/>
          <w:sz w:val="24"/>
          <w:szCs w:val="24"/>
          <w14:ligatures w14:val="none"/>
        </w:rPr>
        <w:t>John Jerrim</w:t>
      </w:r>
      <w:r w:rsidRPr="00F80596">
        <w:rPr>
          <w:rFonts w:ascii="Times New Roman" w:eastAsia="Times New Roman" w:hAnsi="Times New Roman" w:cs="Times New Roman"/>
          <w:bCs/>
          <w:kern w:val="0"/>
          <w:sz w:val="24"/>
          <w:szCs w:val="24"/>
          <w:vertAlign w:val="superscript"/>
          <w14:ligatures w14:val="none"/>
        </w:rPr>
        <w:footnoteReference w:id="1"/>
      </w:r>
      <w:r w:rsidRPr="00F80596">
        <w:rPr>
          <w:rFonts w:ascii="Times New Roman" w:eastAsia="Times New Roman" w:hAnsi="Times New Roman" w:cs="Times New Roman"/>
          <w:bCs/>
          <w:kern w:val="0"/>
          <w:sz w:val="24"/>
          <w:szCs w:val="24"/>
          <w14:ligatures w14:val="none"/>
        </w:rPr>
        <w:t xml:space="preserve"> (UCL Social Research Institute)</w:t>
      </w:r>
    </w:p>
    <w:p w14:paraId="3B698539" w14:textId="77777777" w:rsidR="00F80596" w:rsidRPr="00F80596" w:rsidRDefault="00F80596" w:rsidP="00F80596">
      <w:pPr>
        <w:spacing w:after="120" w:line="240" w:lineRule="auto"/>
        <w:jc w:val="both"/>
        <w:rPr>
          <w:rFonts w:ascii="Times New Roman" w:eastAsia="Times New Roman" w:hAnsi="Times New Roman" w:cs="Times New Roman"/>
          <w:b/>
          <w:kern w:val="0"/>
          <w:sz w:val="24"/>
          <w:szCs w:val="24"/>
          <w14:ligatures w14:val="none"/>
        </w:rPr>
      </w:pPr>
      <w:r w:rsidRPr="00F80596">
        <w:rPr>
          <w:rFonts w:ascii="Times New Roman" w:eastAsia="Times New Roman" w:hAnsi="Times New Roman" w:cs="Times New Roman"/>
          <w:b/>
          <w:kern w:val="0"/>
          <w:sz w:val="24"/>
          <w:szCs w:val="24"/>
          <w14:ligatures w14:val="none"/>
        </w:rPr>
        <w:t>Abstract</w:t>
      </w:r>
    </w:p>
    <w:p w14:paraId="665C5272" w14:textId="3535F2A8" w:rsidR="00F80596" w:rsidRDefault="00854837" w:rsidP="00F80596">
      <w:pPr>
        <w:spacing w:after="12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w:t>
      </w:r>
      <w:r w:rsidR="00573EE3">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small but growing literature is </w:t>
      </w:r>
      <w:r w:rsidR="00573EE3">
        <w:rPr>
          <w:rFonts w:ascii="Times New Roman" w:eastAsia="Times New Roman" w:hAnsi="Times New Roman" w:cs="Times New Roman"/>
          <w:kern w:val="0"/>
          <w:sz w:val="24"/>
          <w:szCs w:val="24"/>
          <w14:ligatures w14:val="none"/>
        </w:rPr>
        <w:t>exploring</w:t>
      </w:r>
      <w:r>
        <w:rPr>
          <w:rFonts w:ascii="Times New Roman" w:eastAsia="Times New Roman" w:hAnsi="Times New Roman" w:cs="Times New Roman"/>
          <w:kern w:val="0"/>
          <w:sz w:val="24"/>
          <w:szCs w:val="24"/>
          <w14:ligatures w14:val="none"/>
        </w:rPr>
        <w:t xml:space="preserve"> the later lifetime outcomes of initially high achieving young people from disadvantaged socio-economic backgrounds. These individuals have the potential to break through the glass ceiling and climb up the socio-economic ladder</w:t>
      </w:r>
      <w:r w:rsidR="00573EE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though unfortunately</w:t>
      </w:r>
      <w:r w:rsidR="00573EE3">
        <w:rPr>
          <w:rFonts w:ascii="Times New Roman" w:eastAsia="Times New Roman" w:hAnsi="Times New Roman" w:cs="Times New Roman"/>
          <w:kern w:val="0"/>
          <w:sz w:val="24"/>
          <w:szCs w:val="24"/>
          <w14:ligatures w14:val="none"/>
        </w:rPr>
        <w:t xml:space="preserve"> many</w:t>
      </w:r>
      <w:r>
        <w:rPr>
          <w:rFonts w:ascii="Times New Roman" w:eastAsia="Times New Roman" w:hAnsi="Times New Roman" w:cs="Times New Roman"/>
          <w:kern w:val="0"/>
          <w:sz w:val="24"/>
          <w:szCs w:val="24"/>
          <w14:ligatures w14:val="none"/>
        </w:rPr>
        <w:t xml:space="preserve"> fail to </w:t>
      </w:r>
      <w:r w:rsidR="00573EE3">
        <w:rPr>
          <w:rFonts w:ascii="Times New Roman" w:eastAsia="Times New Roman" w:hAnsi="Times New Roman" w:cs="Times New Roman"/>
          <w:kern w:val="0"/>
          <w:sz w:val="24"/>
          <w:szCs w:val="24"/>
          <w14:ligatures w14:val="none"/>
        </w:rPr>
        <w:t>achieve this goal</w:t>
      </w:r>
      <w:r>
        <w:rPr>
          <w:rFonts w:ascii="Times New Roman" w:eastAsia="Times New Roman" w:hAnsi="Times New Roman" w:cs="Times New Roman"/>
          <w:kern w:val="0"/>
          <w:sz w:val="24"/>
          <w:szCs w:val="24"/>
          <w14:ligatures w14:val="none"/>
        </w:rPr>
        <w:t>. This paper presents new evidence on a selection of behavioural outcomes for this group, focusing on their attendance at</w:t>
      </w:r>
      <w:r w:rsidR="00573EE3">
        <w:rPr>
          <w:rFonts w:ascii="Times New Roman" w:eastAsia="Times New Roman" w:hAnsi="Times New Roman" w:cs="Times New Roman"/>
          <w:kern w:val="0"/>
          <w:sz w:val="24"/>
          <w:szCs w:val="24"/>
          <w14:ligatures w14:val="none"/>
        </w:rPr>
        <w:t xml:space="preserve"> and exclusions from</w:t>
      </w:r>
      <w:r>
        <w:rPr>
          <w:rFonts w:ascii="Times New Roman" w:eastAsia="Times New Roman" w:hAnsi="Times New Roman" w:cs="Times New Roman"/>
          <w:kern w:val="0"/>
          <w:sz w:val="24"/>
          <w:szCs w:val="24"/>
          <w14:ligatures w14:val="none"/>
        </w:rPr>
        <w:t xml:space="preserve"> school, </w:t>
      </w:r>
      <w:r w:rsidR="00573EE3">
        <w:rPr>
          <w:rFonts w:ascii="Times New Roman" w:eastAsia="Times New Roman" w:hAnsi="Times New Roman" w:cs="Times New Roman"/>
          <w:kern w:val="0"/>
          <w:sz w:val="24"/>
          <w:szCs w:val="24"/>
          <w14:ligatures w14:val="none"/>
        </w:rPr>
        <w:t>along with</w:t>
      </w:r>
      <w:r>
        <w:rPr>
          <w:rFonts w:ascii="Times New Roman" w:eastAsia="Times New Roman" w:hAnsi="Times New Roman" w:cs="Times New Roman"/>
          <w:kern w:val="0"/>
          <w:sz w:val="24"/>
          <w:szCs w:val="24"/>
          <w14:ligatures w14:val="none"/>
        </w:rPr>
        <w:t xml:space="preserve"> cautions/sentences </w:t>
      </w:r>
      <w:r w:rsidR="00573EE3">
        <w:rPr>
          <w:rFonts w:ascii="Times New Roman" w:eastAsia="Times New Roman" w:hAnsi="Times New Roman" w:cs="Times New Roman"/>
          <w:kern w:val="0"/>
          <w:sz w:val="24"/>
          <w:szCs w:val="24"/>
          <w14:ligatures w14:val="none"/>
        </w:rPr>
        <w:t>received for</w:t>
      </w:r>
      <w:r>
        <w:rPr>
          <w:rFonts w:ascii="Times New Roman" w:eastAsia="Times New Roman" w:hAnsi="Times New Roman" w:cs="Times New Roman"/>
          <w:kern w:val="0"/>
          <w:sz w:val="24"/>
          <w:szCs w:val="24"/>
          <w14:ligatures w14:val="none"/>
        </w:rPr>
        <w:t xml:space="preserve"> involvement in criminal activity. We find substantial differences in absence rates </w:t>
      </w:r>
      <w:r w:rsidR="007308CD">
        <w:rPr>
          <w:rFonts w:ascii="Times New Roman" w:eastAsia="Times New Roman" w:hAnsi="Times New Roman" w:cs="Times New Roman"/>
          <w:kern w:val="0"/>
          <w:sz w:val="24"/>
          <w:szCs w:val="24"/>
          <w14:ligatures w14:val="none"/>
        </w:rPr>
        <w:t>throughout</w:t>
      </w:r>
      <w:r>
        <w:rPr>
          <w:rFonts w:ascii="Times New Roman" w:eastAsia="Times New Roman" w:hAnsi="Times New Roman" w:cs="Times New Roman"/>
          <w:kern w:val="0"/>
          <w:sz w:val="24"/>
          <w:szCs w:val="24"/>
          <w14:ligatures w14:val="none"/>
        </w:rPr>
        <w:t xml:space="preserve"> secondary school relative to their equally able but more</w:t>
      </w:r>
      <w:r w:rsidR="007308CD">
        <w:rPr>
          <w:rFonts w:ascii="Times New Roman" w:eastAsia="Times New Roman" w:hAnsi="Times New Roman" w:cs="Times New Roman"/>
          <w:kern w:val="0"/>
          <w:sz w:val="24"/>
          <w:szCs w:val="24"/>
          <w14:ligatures w14:val="none"/>
        </w:rPr>
        <w:t xml:space="preserve"> socio-economically</w:t>
      </w:r>
      <w:r>
        <w:rPr>
          <w:rFonts w:ascii="Times New Roman" w:eastAsia="Times New Roman" w:hAnsi="Times New Roman" w:cs="Times New Roman"/>
          <w:kern w:val="0"/>
          <w:sz w:val="24"/>
          <w:szCs w:val="24"/>
          <w14:ligatures w14:val="none"/>
        </w:rPr>
        <w:t xml:space="preserve"> advantaged peers, with this a particular issue for </w:t>
      </w:r>
      <w:r w:rsidR="007308CD">
        <w:rPr>
          <w:rFonts w:ascii="Times New Roman" w:eastAsia="Times New Roman" w:hAnsi="Times New Roman" w:cs="Times New Roman"/>
          <w:kern w:val="0"/>
          <w:sz w:val="24"/>
          <w:szCs w:val="24"/>
          <w14:ligatures w14:val="none"/>
        </w:rPr>
        <w:t>those</w:t>
      </w:r>
      <w:r>
        <w:rPr>
          <w:rFonts w:ascii="Times New Roman" w:eastAsia="Times New Roman" w:hAnsi="Times New Roman" w:cs="Times New Roman"/>
          <w:kern w:val="0"/>
          <w:sz w:val="24"/>
          <w:szCs w:val="24"/>
          <w14:ligatures w14:val="none"/>
        </w:rPr>
        <w:t xml:space="preserve"> of White and Mixed ethnicity. </w:t>
      </w:r>
      <w:r w:rsidR="00D97C84">
        <w:rPr>
          <w:rFonts w:ascii="Times New Roman" w:eastAsia="Times New Roman" w:hAnsi="Times New Roman" w:cs="Times New Roman"/>
          <w:kern w:val="0"/>
          <w:sz w:val="24"/>
          <w:szCs w:val="24"/>
          <w14:ligatures w14:val="none"/>
        </w:rPr>
        <w:t>On the other hand, exclusions from school and cautions/sentences are particularly elevated amongst high achieving disadvantaged boys – most prominently those from Black and Mixed-race backgrounds</w:t>
      </w:r>
      <w:r w:rsidR="00737384">
        <w:rPr>
          <w:rFonts w:ascii="Times New Roman" w:eastAsia="Times New Roman" w:hAnsi="Times New Roman" w:cs="Times New Roman"/>
          <w:kern w:val="0"/>
          <w:sz w:val="24"/>
          <w:szCs w:val="24"/>
          <w14:ligatures w14:val="none"/>
        </w:rPr>
        <w:t xml:space="preserve"> – and peak during Key Stage 4</w:t>
      </w:r>
      <w:r w:rsidR="00D97C84">
        <w:rPr>
          <w:rFonts w:ascii="Times New Roman" w:eastAsia="Times New Roman" w:hAnsi="Times New Roman" w:cs="Times New Roman"/>
          <w:kern w:val="0"/>
          <w:sz w:val="24"/>
          <w:szCs w:val="24"/>
          <w14:ligatures w14:val="none"/>
        </w:rPr>
        <w:t xml:space="preserve">. We also find that differences in attendance, exclusions and cautions/sentences while at school can only partially explain socio-economic differences in the propensity to </w:t>
      </w:r>
      <w:r w:rsidR="007308CD">
        <w:rPr>
          <w:rFonts w:ascii="Times New Roman" w:eastAsia="Times New Roman" w:hAnsi="Times New Roman" w:cs="Times New Roman"/>
          <w:kern w:val="0"/>
          <w:sz w:val="24"/>
          <w:szCs w:val="24"/>
          <w14:ligatures w14:val="none"/>
        </w:rPr>
        <w:t>be cautioned or sentenced</w:t>
      </w:r>
      <w:r w:rsidR="00D97C84">
        <w:rPr>
          <w:rFonts w:ascii="Times New Roman" w:eastAsia="Times New Roman" w:hAnsi="Times New Roman" w:cs="Times New Roman"/>
          <w:kern w:val="0"/>
          <w:sz w:val="24"/>
          <w:szCs w:val="24"/>
          <w14:ligatures w14:val="none"/>
        </w:rPr>
        <w:t xml:space="preserve"> as</w:t>
      </w:r>
      <w:r w:rsidR="007308CD">
        <w:rPr>
          <w:rFonts w:ascii="Times New Roman" w:eastAsia="Times New Roman" w:hAnsi="Times New Roman" w:cs="Times New Roman"/>
          <w:kern w:val="0"/>
          <w:sz w:val="24"/>
          <w:szCs w:val="24"/>
          <w14:ligatures w14:val="none"/>
        </w:rPr>
        <w:t xml:space="preserve"> an</w:t>
      </w:r>
      <w:r w:rsidR="00D97C84">
        <w:rPr>
          <w:rFonts w:ascii="Times New Roman" w:eastAsia="Times New Roman" w:hAnsi="Times New Roman" w:cs="Times New Roman"/>
          <w:kern w:val="0"/>
          <w:sz w:val="24"/>
          <w:szCs w:val="24"/>
          <w14:ligatures w14:val="none"/>
        </w:rPr>
        <w:t xml:space="preserve"> adult. </w:t>
      </w:r>
      <w:r w:rsidR="007308CD">
        <w:rPr>
          <w:rFonts w:ascii="Times New Roman" w:eastAsia="Times New Roman" w:hAnsi="Times New Roman" w:cs="Times New Roman"/>
          <w:kern w:val="0"/>
          <w:sz w:val="24"/>
          <w:szCs w:val="24"/>
          <w14:ligatures w14:val="none"/>
        </w:rPr>
        <w:t>Our</w:t>
      </w:r>
      <w:r w:rsidR="00D97C84">
        <w:rPr>
          <w:rFonts w:ascii="Times New Roman" w:eastAsia="Times New Roman" w:hAnsi="Times New Roman" w:cs="Times New Roman"/>
          <w:kern w:val="0"/>
          <w:sz w:val="24"/>
          <w:szCs w:val="24"/>
          <w14:ligatures w14:val="none"/>
        </w:rPr>
        <w:t xml:space="preserve"> findings</w:t>
      </w:r>
      <w:r w:rsidR="007308CD">
        <w:rPr>
          <w:rFonts w:ascii="Times New Roman" w:eastAsia="Times New Roman" w:hAnsi="Times New Roman" w:cs="Times New Roman"/>
          <w:kern w:val="0"/>
          <w:sz w:val="24"/>
          <w:szCs w:val="24"/>
          <w14:ligatures w14:val="none"/>
        </w:rPr>
        <w:t xml:space="preserve"> thus</w:t>
      </w:r>
      <w:r w:rsidR="00D97C84">
        <w:rPr>
          <w:rFonts w:ascii="Times New Roman" w:eastAsia="Times New Roman" w:hAnsi="Times New Roman" w:cs="Times New Roman"/>
          <w:kern w:val="0"/>
          <w:sz w:val="24"/>
          <w:szCs w:val="24"/>
          <w14:ligatures w14:val="none"/>
        </w:rPr>
        <w:t xml:space="preserve"> highlight the broad range of negative outcomes that hinder initially high achieving disadvantaged children’s prospects of achieving upwards social mobility. </w:t>
      </w:r>
    </w:p>
    <w:p w14:paraId="4093CA19" w14:textId="77777777" w:rsidR="009260F5" w:rsidRPr="00F80596" w:rsidRDefault="009260F5" w:rsidP="00F80596">
      <w:pPr>
        <w:spacing w:after="120" w:line="240" w:lineRule="auto"/>
        <w:jc w:val="both"/>
        <w:rPr>
          <w:rFonts w:ascii="Times New Roman" w:eastAsia="Times New Roman" w:hAnsi="Times New Roman" w:cs="Times New Roman"/>
          <w:kern w:val="0"/>
          <w:sz w:val="24"/>
          <w:szCs w:val="24"/>
          <w14:ligatures w14:val="none"/>
        </w:rPr>
      </w:pPr>
    </w:p>
    <w:p w14:paraId="7ED3BBF2" w14:textId="311CE47D" w:rsidR="00F80596" w:rsidRPr="00F80596" w:rsidRDefault="00F80596" w:rsidP="001D2249">
      <w:pPr>
        <w:spacing w:after="200" w:line="240" w:lineRule="auto"/>
        <w:rPr>
          <w:rFonts w:ascii="Times New Roman" w:eastAsia="Times New Roman" w:hAnsi="Times New Roman" w:cs="Times New Roman"/>
          <w:color w:val="000000"/>
          <w:kern w:val="0"/>
          <w:sz w:val="24"/>
          <w:szCs w:val="24"/>
          <w14:ligatures w14:val="none"/>
        </w:rPr>
      </w:pPr>
      <w:r w:rsidRPr="00F80596">
        <w:rPr>
          <w:rFonts w:ascii="Times New Roman" w:eastAsia="Times New Roman" w:hAnsi="Times New Roman" w:cs="Times New Roman"/>
          <w:b/>
          <w:color w:val="000000"/>
          <w:kern w:val="0"/>
          <w:sz w:val="24"/>
          <w:szCs w:val="24"/>
          <w14:ligatures w14:val="none"/>
        </w:rPr>
        <w:t>Key Words:</w:t>
      </w:r>
      <w:r w:rsidRPr="00F80596">
        <w:rPr>
          <w:rFonts w:ascii="Times New Roman" w:eastAsia="Times New Roman" w:hAnsi="Times New Roman" w:cs="Times New Roman"/>
          <w:color w:val="000000"/>
          <w:kern w:val="0"/>
          <w:sz w:val="24"/>
          <w:szCs w:val="24"/>
          <w14:ligatures w14:val="none"/>
        </w:rPr>
        <w:t xml:space="preserve"> High-ability children, socio-economic disadvantaged, </w:t>
      </w:r>
      <w:r>
        <w:rPr>
          <w:rFonts w:ascii="Times New Roman" w:eastAsia="Times New Roman" w:hAnsi="Times New Roman" w:cs="Times New Roman"/>
          <w:color w:val="000000"/>
          <w:kern w:val="0"/>
          <w:sz w:val="24"/>
          <w:szCs w:val="24"/>
          <w14:ligatures w14:val="none"/>
        </w:rPr>
        <w:t xml:space="preserve">school absences, school exclusions, crime. </w:t>
      </w:r>
    </w:p>
    <w:p w14:paraId="086169C7" w14:textId="6FF685C8" w:rsidR="009260F5" w:rsidRDefault="009260F5" w:rsidP="009260F5">
      <w:pPr>
        <w:spacing w:line="276" w:lineRule="auto"/>
        <w:jc w:val="both"/>
        <w:rPr>
          <w:rStyle w:val="Hyperlink"/>
          <w:rFonts w:ascii="Times New Roman" w:hAnsi="Times New Roman" w:cs="Times New Roman"/>
        </w:rPr>
      </w:pPr>
      <w:r w:rsidRPr="009260F5">
        <w:rPr>
          <w:rFonts w:ascii="Times New Roman" w:eastAsia="Times New Roman" w:hAnsi="Times New Roman" w:cs="Times New Roman"/>
          <w:color w:val="000000"/>
          <w:kern w:val="0"/>
          <w:sz w:val="24"/>
          <w:szCs w:val="24"/>
          <w14:ligatures w14:val="none"/>
        </w:rPr>
        <w:t xml:space="preserve">Acknowledgment: </w:t>
      </w:r>
      <w:r w:rsidRPr="009260F5">
        <w:rPr>
          <w:rFonts w:ascii="Times New Roman" w:hAnsi="Times New Roman" w:cs="Times New Roman"/>
        </w:rPr>
        <w:t xml:space="preserve">The Nuffield Foundation is an independent charitable trust with a mission to advance social well-being. It funds research that informs social policy, primarily in Education, Welfare and Justice. The Nuffield Foundation is the founder and co-funder of the Nuffield Council on Bioethics, the Ada Lovelace Institute and the Nuffield Family Justice Observatory. The Foundation has funded this project, but the views expressed are those of the authors and not necessarily the Foundation. Visit </w:t>
      </w:r>
      <w:hyperlink r:id="rId8" w:history="1">
        <w:r w:rsidRPr="009260F5">
          <w:rPr>
            <w:rStyle w:val="Hyperlink"/>
            <w:rFonts w:ascii="Times New Roman" w:hAnsi="Times New Roman" w:cs="Times New Roman"/>
          </w:rPr>
          <w:t>www.nuffieldfoundation.org</w:t>
        </w:r>
      </w:hyperlink>
      <w:r w:rsidRPr="009260F5">
        <w:rPr>
          <w:rFonts w:ascii="Times New Roman" w:hAnsi="Times New Roman" w:cs="Times New Roman"/>
        </w:rPr>
        <w:t xml:space="preserve">. Twitter: </w:t>
      </w:r>
      <w:hyperlink r:id="rId9" w:history="1">
        <w:r w:rsidRPr="009260F5">
          <w:rPr>
            <w:rStyle w:val="Hyperlink"/>
            <w:rFonts w:ascii="Times New Roman" w:hAnsi="Times New Roman" w:cs="Times New Roman"/>
          </w:rPr>
          <w:t>@NuffieldFound</w:t>
        </w:r>
      </w:hyperlink>
    </w:p>
    <w:p w14:paraId="5A2188ED" w14:textId="77777777" w:rsidR="00717DF5" w:rsidRDefault="00717DF5" w:rsidP="009260F5">
      <w:pPr>
        <w:spacing w:line="276" w:lineRule="auto"/>
        <w:jc w:val="both"/>
        <w:rPr>
          <w:rStyle w:val="Hyperlink"/>
          <w:rFonts w:ascii="Times New Roman" w:hAnsi="Times New Roman" w:cs="Times New Roman"/>
        </w:rPr>
      </w:pPr>
    </w:p>
    <w:p w14:paraId="78B715E5" w14:textId="391997DE" w:rsidR="002A7066" w:rsidRPr="002A7066" w:rsidRDefault="002A7066" w:rsidP="009260F5">
      <w:pPr>
        <w:spacing w:line="276" w:lineRule="auto"/>
        <w:jc w:val="both"/>
        <w:rPr>
          <w:rStyle w:val="Hyperlink"/>
          <w:rFonts w:ascii="Times New Roman" w:hAnsi="Times New Roman" w:cs="Times New Roman"/>
          <w:color w:val="000000" w:themeColor="text1"/>
          <w:u w:val="none"/>
        </w:rPr>
        <w:sectPr w:rsidR="002A7066" w:rsidRPr="002A7066">
          <w:footerReference w:type="default" r:id="rId10"/>
          <w:pgSz w:w="11906" w:h="16838"/>
          <w:pgMar w:top="1440" w:right="1440" w:bottom="1440" w:left="1440" w:header="708" w:footer="708" w:gutter="0"/>
          <w:cols w:space="708"/>
          <w:docGrid w:linePitch="360"/>
        </w:sectPr>
      </w:pPr>
      <w:r w:rsidRPr="002A7066">
        <w:rPr>
          <w:rFonts w:ascii="Times New Roman" w:hAnsi="Times New Roman" w:cs="Times New Roman"/>
          <w:color w:val="000000" w:themeColor="text1"/>
        </w:rPr>
        <w:t>This work was undertaken in the Office for National Statistics Secure Research Service using data from ONS and other owners and does not imply the endorsement of the ONS or other data owners.</w:t>
      </w:r>
    </w:p>
    <w:p w14:paraId="0923E606" w14:textId="2C391629" w:rsidR="009260F5" w:rsidRPr="003125D6" w:rsidRDefault="009260F5" w:rsidP="009260F5">
      <w:pPr>
        <w:pStyle w:val="ListParagraph"/>
        <w:numPr>
          <w:ilvl w:val="0"/>
          <w:numId w:val="1"/>
        </w:numPr>
        <w:spacing w:line="276" w:lineRule="auto"/>
        <w:jc w:val="both"/>
        <w:rPr>
          <w:rStyle w:val="Hyperlink"/>
          <w:rFonts w:ascii="Times New Roman" w:hAnsi="Times New Roman" w:cs="Times New Roman"/>
          <w:b/>
          <w:bCs/>
          <w:color w:val="000000" w:themeColor="text1"/>
          <w:u w:val="none"/>
        </w:rPr>
      </w:pPr>
      <w:r w:rsidRPr="003125D6">
        <w:rPr>
          <w:rStyle w:val="Hyperlink"/>
          <w:rFonts w:ascii="Times New Roman" w:hAnsi="Times New Roman" w:cs="Times New Roman"/>
          <w:b/>
          <w:bCs/>
          <w:color w:val="000000" w:themeColor="text1"/>
          <w:u w:val="none"/>
        </w:rPr>
        <w:lastRenderedPageBreak/>
        <w:t>Introduction</w:t>
      </w:r>
    </w:p>
    <w:p w14:paraId="2365A9AD" w14:textId="0696981D" w:rsidR="005C7B13" w:rsidRDefault="0066238D" w:rsidP="005C7B13">
      <w:pPr>
        <w:spacing w:line="360" w:lineRule="auto"/>
        <w:jc w:val="both"/>
        <w:rPr>
          <w:rStyle w:val="Hyperlink"/>
          <w:rFonts w:ascii="Times New Roman" w:hAnsi="Times New Roman" w:cs="Times New Roman"/>
          <w:color w:val="000000" w:themeColor="text1"/>
          <w:sz w:val="24"/>
          <w:szCs w:val="24"/>
          <w:u w:val="none"/>
        </w:rPr>
      </w:pPr>
      <w:r w:rsidRPr="0081090C">
        <w:rPr>
          <w:rStyle w:val="Hyperlink"/>
          <w:rFonts w:ascii="Times New Roman" w:hAnsi="Times New Roman" w:cs="Times New Roman"/>
          <w:color w:val="000000" w:themeColor="text1"/>
          <w:sz w:val="24"/>
          <w:szCs w:val="24"/>
          <w:u w:val="none"/>
        </w:rPr>
        <w:t>In many Western countries, social mobility has become a key policy issue. Governments across the world a</w:t>
      </w:r>
      <w:r w:rsidR="00E177CA">
        <w:rPr>
          <w:rStyle w:val="Hyperlink"/>
          <w:rFonts w:ascii="Times New Roman" w:hAnsi="Times New Roman" w:cs="Times New Roman"/>
          <w:color w:val="000000" w:themeColor="text1"/>
          <w:sz w:val="24"/>
          <w:szCs w:val="24"/>
          <w:u w:val="none"/>
        </w:rPr>
        <w:t>r</w:t>
      </w:r>
      <w:r w:rsidRPr="0081090C">
        <w:rPr>
          <w:rStyle w:val="Hyperlink"/>
          <w:rFonts w:ascii="Times New Roman" w:hAnsi="Times New Roman" w:cs="Times New Roman"/>
          <w:color w:val="000000" w:themeColor="text1"/>
          <w:sz w:val="24"/>
          <w:szCs w:val="24"/>
          <w:u w:val="none"/>
        </w:rPr>
        <w:t>e seeking to ensure that young people have equal opportunities to succeed regardless of their socio-economic background, thereby building a fairer and more economically efficient society.</w:t>
      </w:r>
      <w:r w:rsidR="00800C68" w:rsidRPr="0081090C">
        <w:rPr>
          <w:rStyle w:val="Hyperlink"/>
          <w:rFonts w:ascii="Times New Roman" w:hAnsi="Times New Roman" w:cs="Times New Roman"/>
          <w:color w:val="000000" w:themeColor="text1"/>
          <w:sz w:val="24"/>
          <w:szCs w:val="24"/>
          <w:u w:val="none"/>
        </w:rPr>
        <w:t xml:space="preserve"> Unfortunately, many countries are struggling to achieve this goal, with socio-economic differences in education, health and labour market outcomes proving difficult to meaningfully shift (</w:t>
      </w:r>
      <w:r w:rsidR="00091CE4">
        <w:rPr>
          <w:rStyle w:val="Hyperlink"/>
          <w:rFonts w:ascii="Times New Roman" w:hAnsi="Times New Roman" w:cs="Times New Roman"/>
          <w:color w:val="000000" w:themeColor="text1"/>
          <w:sz w:val="24"/>
          <w:szCs w:val="24"/>
          <w:u w:val="none"/>
        </w:rPr>
        <w:t>Blanden et al., 2022; Machenbach et al, 2018; OECD, 2018</w:t>
      </w:r>
      <w:r w:rsidR="00800C68" w:rsidRPr="0081090C">
        <w:rPr>
          <w:rStyle w:val="Hyperlink"/>
          <w:rFonts w:ascii="Times New Roman" w:hAnsi="Times New Roman" w:cs="Times New Roman"/>
          <w:color w:val="000000" w:themeColor="text1"/>
          <w:sz w:val="24"/>
          <w:szCs w:val="24"/>
          <w:u w:val="none"/>
        </w:rPr>
        <w:t>).</w:t>
      </w:r>
    </w:p>
    <w:p w14:paraId="7FB68F81" w14:textId="77CE2B68" w:rsidR="00F05820" w:rsidRPr="0081090C" w:rsidRDefault="00F05820" w:rsidP="005C7B13">
      <w:pPr>
        <w:spacing w:line="360" w:lineRule="auto"/>
        <w:jc w:val="both"/>
        <w:rPr>
          <w:rStyle w:val="Hyperlink"/>
          <w:rFonts w:ascii="Times New Roman" w:hAnsi="Times New Roman" w:cs="Times New Roman"/>
          <w:color w:val="000000" w:themeColor="text1"/>
          <w:sz w:val="24"/>
          <w:szCs w:val="24"/>
          <w:u w:val="none"/>
        </w:rPr>
      </w:pPr>
      <w:r w:rsidRPr="0081090C">
        <w:rPr>
          <w:rStyle w:val="Hyperlink"/>
          <w:rFonts w:ascii="Times New Roman" w:hAnsi="Times New Roman" w:cs="Times New Roman"/>
          <w:color w:val="000000" w:themeColor="text1"/>
          <w:sz w:val="24"/>
          <w:szCs w:val="24"/>
          <w:u w:val="none"/>
        </w:rPr>
        <w:t xml:space="preserve">Improving the later lifetime outcomes of disadvantaged children demonstrating high levels of early academic potential is likely to </w:t>
      </w:r>
      <w:r w:rsidR="00A47164">
        <w:rPr>
          <w:rStyle w:val="Hyperlink"/>
          <w:rFonts w:ascii="Times New Roman" w:hAnsi="Times New Roman" w:cs="Times New Roman"/>
          <w:color w:val="000000" w:themeColor="text1"/>
          <w:sz w:val="24"/>
          <w:szCs w:val="24"/>
          <w:u w:val="none"/>
        </w:rPr>
        <w:t>be</w:t>
      </w:r>
      <w:r w:rsidRPr="0081090C">
        <w:rPr>
          <w:rStyle w:val="Hyperlink"/>
          <w:rFonts w:ascii="Times New Roman" w:hAnsi="Times New Roman" w:cs="Times New Roman"/>
          <w:color w:val="000000" w:themeColor="text1"/>
          <w:sz w:val="24"/>
          <w:szCs w:val="24"/>
          <w:u w:val="none"/>
        </w:rPr>
        <w:t xml:space="preserve"> pivotal</w:t>
      </w:r>
      <w:r w:rsidR="00A47164">
        <w:rPr>
          <w:rStyle w:val="Hyperlink"/>
          <w:rFonts w:ascii="Times New Roman" w:hAnsi="Times New Roman" w:cs="Times New Roman"/>
          <w:color w:val="000000" w:themeColor="text1"/>
          <w:sz w:val="24"/>
          <w:szCs w:val="24"/>
          <w:u w:val="none"/>
        </w:rPr>
        <w:t xml:space="preserve"> to</w:t>
      </w:r>
      <w:r w:rsidRPr="0081090C">
        <w:rPr>
          <w:rStyle w:val="Hyperlink"/>
          <w:rFonts w:ascii="Times New Roman" w:hAnsi="Times New Roman" w:cs="Times New Roman"/>
          <w:color w:val="000000" w:themeColor="text1"/>
          <w:sz w:val="24"/>
          <w:szCs w:val="24"/>
          <w:u w:val="none"/>
        </w:rPr>
        <w:t xml:space="preserve"> ensuring this changes in the future (</w:t>
      </w:r>
      <w:r w:rsidR="00B91476" w:rsidRPr="0081090C">
        <w:rPr>
          <w:rFonts w:ascii="Times New Roman" w:hAnsi="Times New Roman" w:cs="Times New Roman"/>
          <w:sz w:val="24"/>
          <w:szCs w:val="24"/>
        </w:rPr>
        <w:t>Holt-White &amp; Cullinane</w:t>
      </w:r>
      <w:r w:rsidR="00B91476">
        <w:rPr>
          <w:rFonts w:ascii="Times New Roman" w:hAnsi="Times New Roman" w:cs="Times New Roman"/>
          <w:sz w:val="24"/>
          <w:szCs w:val="24"/>
        </w:rPr>
        <w:t xml:space="preserve">, </w:t>
      </w:r>
      <w:r w:rsidR="00B91476" w:rsidRPr="0081090C">
        <w:rPr>
          <w:rFonts w:ascii="Times New Roman" w:hAnsi="Times New Roman" w:cs="Times New Roman"/>
          <w:sz w:val="24"/>
          <w:szCs w:val="24"/>
        </w:rPr>
        <w:t>2023</w:t>
      </w:r>
      <w:r w:rsidRPr="0081090C">
        <w:rPr>
          <w:rStyle w:val="Hyperlink"/>
          <w:rFonts w:ascii="Times New Roman" w:hAnsi="Times New Roman" w:cs="Times New Roman"/>
          <w:color w:val="000000" w:themeColor="text1"/>
          <w:sz w:val="24"/>
          <w:szCs w:val="24"/>
          <w:u w:val="none"/>
        </w:rPr>
        <w:t xml:space="preserve">). Despite the socio-economic </w:t>
      </w:r>
      <w:r w:rsidR="00A47164">
        <w:rPr>
          <w:rStyle w:val="Hyperlink"/>
          <w:rFonts w:ascii="Times New Roman" w:hAnsi="Times New Roman" w:cs="Times New Roman"/>
          <w:color w:val="000000" w:themeColor="text1"/>
          <w:sz w:val="24"/>
          <w:szCs w:val="24"/>
          <w:u w:val="none"/>
        </w:rPr>
        <w:t>adversity</w:t>
      </w:r>
      <w:r w:rsidRPr="0081090C">
        <w:rPr>
          <w:rStyle w:val="Hyperlink"/>
          <w:rFonts w:ascii="Times New Roman" w:hAnsi="Times New Roman" w:cs="Times New Roman"/>
          <w:color w:val="000000" w:themeColor="text1"/>
          <w:sz w:val="24"/>
          <w:szCs w:val="24"/>
          <w:u w:val="none"/>
        </w:rPr>
        <w:t xml:space="preserve"> this group faced early in life, they have</w:t>
      </w:r>
      <w:r w:rsidR="00A47164">
        <w:rPr>
          <w:rStyle w:val="Hyperlink"/>
          <w:rFonts w:ascii="Times New Roman" w:hAnsi="Times New Roman" w:cs="Times New Roman"/>
          <w:color w:val="000000" w:themeColor="text1"/>
          <w:sz w:val="24"/>
          <w:szCs w:val="24"/>
          <w:u w:val="none"/>
        </w:rPr>
        <w:t xml:space="preserve"> </w:t>
      </w:r>
      <w:r w:rsidRPr="0081090C">
        <w:rPr>
          <w:rStyle w:val="Hyperlink"/>
          <w:rFonts w:ascii="Times New Roman" w:hAnsi="Times New Roman" w:cs="Times New Roman"/>
          <w:color w:val="000000" w:themeColor="text1"/>
          <w:sz w:val="24"/>
          <w:szCs w:val="24"/>
          <w:u w:val="none"/>
        </w:rPr>
        <w:t>managed to build a firm academic platform from which they can further develop. As such, initially high-achieving young people from disadvantaged socio-economic backgrounds have perhaps the best opportunity to break through the glass ceiling</w:t>
      </w:r>
      <w:r w:rsidR="00A47164">
        <w:rPr>
          <w:rStyle w:val="Hyperlink"/>
          <w:rFonts w:ascii="Times New Roman" w:hAnsi="Times New Roman" w:cs="Times New Roman"/>
          <w:color w:val="000000" w:themeColor="text1"/>
          <w:sz w:val="24"/>
          <w:szCs w:val="24"/>
          <w:u w:val="none"/>
        </w:rPr>
        <w:t xml:space="preserve"> and increase</w:t>
      </w:r>
      <w:r w:rsidRPr="0081090C">
        <w:rPr>
          <w:rStyle w:val="Hyperlink"/>
          <w:rFonts w:ascii="Times New Roman" w:hAnsi="Times New Roman" w:cs="Times New Roman"/>
          <w:color w:val="000000" w:themeColor="text1"/>
          <w:sz w:val="24"/>
          <w:szCs w:val="24"/>
          <w:u w:val="none"/>
        </w:rPr>
        <w:t xml:space="preserve"> diversity within top professional jobs (</w:t>
      </w:r>
      <w:r w:rsidR="00D84696">
        <w:rPr>
          <w:rStyle w:val="Hyperlink"/>
          <w:rFonts w:ascii="Times New Roman" w:hAnsi="Times New Roman" w:cs="Times New Roman"/>
          <w:color w:val="000000" w:themeColor="text1"/>
          <w:sz w:val="24"/>
          <w:szCs w:val="24"/>
          <w:u w:val="none"/>
        </w:rPr>
        <w:t>Social Mobility Commission, 2023</w:t>
      </w:r>
      <w:r w:rsidRPr="0081090C">
        <w:rPr>
          <w:rStyle w:val="Hyperlink"/>
          <w:rFonts w:ascii="Times New Roman" w:hAnsi="Times New Roman" w:cs="Times New Roman"/>
          <w:color w:val="000000" w:themeColor="text1"/>
          <w:sz w:val="24"/>
          <w:szCs w:val="24"/>
          <w:u w:val="none"/>
        </w:rPr>
        <w:t>).</w:t>
      </w:r>
      <w:r w:rsidR="003125D6" w:rsidRPr="0081090C">
        <w:rPr>
          <w:rStyle w:val="Hyperlink"/>
          <w:rFonts w:ascii="Times New Roman" w:hAnsi="Times New Roman" w:cs="Times New Roman"/>
          <w:color w:val="000000" w:themeColor="text1"/>
          <w:sz w:val="24"/>
          <w:szCs w:val="24"/>
          <w:u w:val="none"/>
        </w:rPr>
        <w:t xml:space="preserve"> Indeed, if these children are unable to succeed, then this represents a waste of talent, with significant numbers of young people failing to fulfil their early academic potential.</w:t>
      </w:r>
    </w:p>
    <w:p w14:paraId="50E3ECF3" w14:textId="58EAD7C7" w:rsidR="00D00642" w:rsidRPr="0081090C" w:rsidRDefault="003125D6" w:rsidP="005C7B13">
      <w:pPr>
        <w:spacing w:line="360" w:lineRule="auto"/>
        <w:jc w:val="both"/>
        <w:rPr>
          <w:rStyle w:val="Hyperlink"/>
          <w:rFonts w:ascii="Times New Roman" w:hAnsi="Times New Roman" w:cs="Times New Roman"/>
          <w:color w:val="000000" w:themeColor="text1"/>
          <w:sz w:val="24"/>
          <w:szCs w:val="24"/>
          <w:u w:val="none"/>
        </w:rPr>
      </w:pPr>
      <w:r w:rsidRPr="0081090C">
        <w:rPr>
          <w:rStyle w:val="Hyperlink"/>
          <w:rFonts w:ascii="Times New Roman" w:hAnsi="Times New Roman" w:cs="Times New Roman"/>
          <w:color w:val="000000" w:themeColor="text1"/>
          <w:sz w:val="24"/>
          <w:szCs w:val="24"/>
          <w:u w:val="none"/>
        </w:rPr>
        <w:t>A relatively small number of previous studies have focused on the development of initially high-achieving young people from poor backgrounds, both in England and internationally.</w:t>
      </w:r>
      <w:r w:rsidR="00066FA6" w:rsidRPr="0081090C">
        <w:rPr>
          <w:rStyle w:val="Hyperlink"/>
          <w:rFonts w:ascii="Times New Roman" w:hAnsi="Times New Roman" w:cs="Times New Roman"/>
          <w:color w:val="000000" w:themeColor="text1"/>
          <w:sz w:val="24"/>
          <w:szCs w:val="24"/>
          <w:u w:val="none"/>
        </w:rPr>
        <w:t xml:space="preserve"> Most focus on the academic progress they make at school and their later levels of educational achievement. </w:t>
      </w:r>
      <w:r w:rsidR="000D4819" w:rsidRPr="0081090C">
        <w:rPr>
          <w:rStyle w:val="Hyperlink"/>
          <w:rFonts w:ascii="Times New Roman" w:hAnsi="Times New Roman" w:cs="Times New Roman"/>
          <w:color w:val="000000" w:themeColor="text1"/>
          <w:sz w:val="24"/>
          <w:szCs w:val="24"/>
          <w:u w:val="none"/>
        </w:rPr>
        <w:t>For instance, a widely cited paper by Feinstein (2003) suggested that developmentally advanced two-year-olds from poor backgrounds were overtaken by developmentally delayed two-year-olds from rich backgrounds before they started school.</w:t>
      </w:r>
      <w:r w:rsidR="006D3A62" w:rsidRPr="0081090C">
        <w:rPr>
          <w:rStyle w:val="Hyperlink"/>
          <w:rFonts w:ascii="Times New Roman" w:hAnsi="Times New Roman" w:cs="Times New Roman"/>
          <w:color w:val="000000" w:themeColor="text1"/>
          <w:sz w:val="24"/>
          <w:szCs w:val="24"/>
          <w:u w:val="none"/>
        </w:rPr>
        <w:t xml:space="preserve"> Blanden and Machin (2010) replicated this finding, showing steep declines in the cognitive skills of initially high-achieving children from disadvantaged backgrounds between ages 3 and 5.</w:t>
      </w:r>
      <w:r w:rsidR="000D4819" w:rsidRPr="0081090C">
        <w:rPr>
          <w:rStyle w:val="Hyperlink"/>
          <w:rFonts w:ascii="Times New Roman" w:hAnsi="Times New Roman" w:cs="Times New Roman"/>
          <w:color w:val="000000" w:themeColor="text1"/>
          <w:sz w:val="24"/>
          <w:szCs w:val="24"/>
          <w:u w:val="none"/>
        </w:rPr>
        <w:t xml:space="preserve"> This was debated, however, by Jerrim and Vignoles (2013) who suggested that this result was at least partially being driven by regression to the mean</w:t>
      </w:r>
      <w:r w:rsidR="00A76D0A">
        <w:rPr>
          <w:rStyle w:val="FootnoteReference"/>
          <w:rFonts w:ascii="Times New Roman" w:hAnsi="Times New Roman" w:cs="Times New Roman"/>
          <w:color w:val="000000" w:themeColor="text1"/>
          <w:sz w:val="24"/>
          <w:szCs w:val="24"/>
        </w:rPr>
        <w:footnoteReference w:id="2"/>
      </w:r>
      <w:r w:rsidR="000D4819" w:rsidRPr="0081090C">
        <w:rPr>
          <w:rStyle w:val="Hyperlink"/>
          <w:rFonts w:ascii="Times New Roman" w:hAnsi="Times New Roman" w:cs="Times New Roman"/>
          <w:color w:val="000000" w:themeColor="text1"/>
          <w:sz w:val="24"/>
          <w:szCs w:val="24"/>
          <w:u w:val="none"/>
        </w:rPr>
        <w:t>.</w:t>
      </w:r>
      <w:r w:rsidR="0081090C" w:rsidRPr="0081090C">
        <w:rPr>
          <w:rStyle w:val="Hyperlink"/>
          <w:rFonts w:ascii="Times New Roman" w:hAnsi="Times New Roman" w:cs="Times New Roman"/>
          <w:color w:val="000000" w:themeColor="text1"/>
          <w:sz w:val="24"/>
          <w:szCs w:val="24"/>
          <w:u w:val="none"/>
        </w:rPr>
        <w:t xml:space="preserve"> </w:t>
      </w:r>
      <w:r w:rsidR="0081090C" w:rsidRPr="0081090C">
        <w:rPr>
          <w:rFonts w:ascii="Times New Roman" w:hAnsi="Times New Roman" w:cs="Times New Roman"/>
          <w:sz w:val="24"/>
          <w:szCs w:val="24"/>
        </w:rPr>
        <w:t xml:space="preserve">Washbrook and Lee (2015) studied this issue in the United States after attempting to address the issue of regression to the mean. They </w:t>
      </w:r>
      <w:r w:rsidR="00013C0B">
        <w:rPr>
          <w:rFonts w:ascii="Times New Roman" w:hAnsi="Times New Roman" w:cs="Times New Roman"/>
          <w:sz w:val="24"/>
          <w:szCs w:val="24"/>
        </w:rPr>
        <w:t>found</w:t>
      </w:r>
      <w:r w:rsidR="0081090C" w:rsidRPr="0081090C">
        <w:rPr>
          <w:rFonts w:ascii="Times New Roman" w:hAnsi="Times New Roman" w:cs="Times New Roman"/>
          <w:sz w:val="24"/>
          <w:szCs w:val="24"/>
        </w:rPr>
        <w:t xml:space="preserve"> that disadvantaged children with strong cognitive test scores at age 6 </w:t>
      </w:r>
      <w:r w:rsidR="00013C0B">
        <w:rPr>
          <w:rFonts w:ascii="Times New Roman" w:hAnsi="Times New Roman" w:cs="Times New Roman"/>
          <w:sz w:val="24"/>
          <w:szCs w:val="24"/>
        </w:rPr>
        <w:t>were</w:t>
      </w:r>
      <w:r w:rsidR="0081090C" w:rsidRPr="0081090C">
        <w:rPr>
          <w:rFonts w:ascii="Times New Roman" w:hAnsi="Times New Roman" w:cs="Times New Roman"/>
          <w:sz w:val="24"/>
          <w:szCs w:val="24"/>
        </w:rPr>
        <w:t xml:space="preserve"> caught up by socio-economically advantaged children with weak test scores by the early teenage years. </w:t>
      </w:r>
      <w:r w:rsidR="000D4819" w:rsidRPr="0081090C">
        <w:rPr>
          <w:rStyle w:val="Hyperlink"/>
          <w:rFonts w:ascii="Times New Roman" w:hAnsi="Times New Roman" w:cs="Times New Roman"/>
          <w:color w:val="000000" w:themeColor="text1"/>
          <w:sz w:val="24"/>
          <w:szCs w:val="24"/>
          <w:u w:val="none"/>
        </w:rPr>
        <w:t xml:space="preserve"> </w:t>
      </w:r>
      <w:r w:rsidR="008601A2" w:rsidRPr="0081090C">
        <w:rPr>
          <w:rStyle w:val="Hyperlink"/>
          <w:rFonts w:ascii="Times New Roman" w:hAnsi="Times New Roman" w:cs="Times New Roman"/>
          <w:color w:val="000000" w:themeColor="text1"/>
          <w:sz w:val="24"/>
          <w:szCs w:val="24"/>
          <w:u w:val="none"/>
        </w:rPr>
        <w:t xml:space="preserve">Building on this work, Crawford et al. (2017) investigated how secondary </w:t>
      </w:r>
      <w:r w:rsidR="008601A2" w:rsidRPr="0081090C">
        <w:rPr>
          <w:rStyle w:val="Hyperlink"/>
          <w:rFonts w:ascii="Times New Roman" w:hAnsi="Times New Roman" w:cs="Times New Roman"/>
          <w:color w:val="000000" w:themeColor="text1"/>
          <w:sz w:val="24"/>
          <w:szCs w:val="24"/>
          <w:u w:val="none"/>
        </w:rPr>
        <w:lastRenderedPageBreak/>
        <w:t>school test scores and university entry rates differed across high-achieving primary school children from socio-economically advantaged and disadvantaged homes. They reported between age</w:t>
      </w:r>
      <w:r w:rsidR="00FC0C4D">
        <w:rPr>
          <w:rStyle w:val="Hyperlink"/>
          <w:rFonts w:ascii="Times New Roman" w:hAnsi="Times New Roman" w:cs="Times New Roman"/>
          <w:color w:val="000000" w:themeColor="text1"/>
          <w:sz w:val="24"/>
          <w:szCs w:val="24"/>
          <w:u w:val="none"/>
        </w:rPr>
        <w:t>s</w:t>
      </w:r>
      <w:r w:rsidR="008601A2" w:rsidRPr="0081090C">
        <w:rPr>
          <w:rStyle w:val="Hyperlink"/>
          <w:rFonts w:ascii="Times New Roman" w:hAnsi="Times New Roman" w:cs="Times New Roman"/>
          <w:color w:val="000000" w:themeColor="text1"/>
          <w:sz w:val="24"/>
          <w:szCs w:val="24"/>
          <w:u w:val="none"/>
        </w:rPr>
        <w:t xml:space="preserve"> 11 and 14 to be a key period, when high-achieving young people from poor backgrounds were particularly likely to fall behind their more advantaged peers academically.</w:t>
      </w:r>
      <w:r w:rsidR="001F524E" w:rsidRPr="0081090C">
        <w:rPr>
          <w:rStyle w:val="Hyperlink"/>
          <w:rFonts w:ascii="Times New Roman" w:hAnsi="Times New Roman" w:cs="Times New Roman"/>
          <w:color w:val="000000" w:themeColor="text1"/>
          <w:sz w:val="24"/>
          <w:szCs w:val="24"/>
          <w:u w:val="none"/>
        </w:rPr>
        <w:t xml:space="preserve"> This is consistent with the work of</w:t>
      </w:r>
      <w:r w:rsidR="008601A2" w:rsidRPr="0081090C">
        <w:rPr>
          <w:rStyle w:val="Hyperlink"/>
          <w:rFonts w:ascii="Times New Roman" w:hAnsi="Times New Roman" w:cs="Times New Roman"/>
          <w:color w:val="000000" w:themeColor="text1"/>
          <w:sz w:val="24"/>
          <w:szCs w:val="24"/>
          <w:u w:val="none"/>
        </w:rPr>
        <w:t xml:space="preserve"> </w:t>
      </w:r>
      <w:r w:rsidR="001F524E" w:rsidRPr="0081090C">
        <w:rPr>
          <w:rFonts w:ascii="Times New Roman" w:hAnsi="Times New Roman" w:cs="Times New Roman"/>
          <w:sz w:val="24"/>
          <w:szCs w:val="24"/>
        </w:rPr>
        <w:t xml:space="preserve">Holt-White &amp; Cullinane (2023), who found that children achieving top scores in national assessments at the end of primary school achieved significantly worse GCSE grades if they were from a socio-economically disadvantaged background. Interestingly, they also found disadvantaged young people who were high academic achievers at primary school were more likely to report </w:t>
      </w:r>
      <w:r w:rsidR="006D3A62" w:rsidRPr="0081090C">
        <w:rPr>
          <w:rFonts w:ascii="Times New Roman" w:hAnsi="Times New Roman" w:cs="Times New Roman"/>
          <w:sz w:val="24"/>
          <w:szCs w:val="24"/>
        </w:rPr>
        <w:t xml:space="preserve">feeling </w:t>
      </w:r>
      <w:r w:rsidR="00013C0B">
        <w:rPr>
          <w:rFonts w:ascii="Times New Roman" w:hAnsi="Times New Roman" w:cs="Times New Roman"/>
          <w:sz w:val="24"/>
          <w:szCs w:val="24"/>
        </w:rPr>
        <w:t>that they don’t</w:t>
      </w:r>
      <w:r w:rsidR="006D3A62" w:rsidRPr="0081090C">
        <w:rPr>
          <w:rFonts w:ascii="Times New Roman" w:hAnsi="Times New Roman" w:cs="Times New Roman"/>
          <w:sz w:val="24"/>
          <w:szCs w:val="24"/>
        </w:rPr>
        <w:t xml:space="preserve"> have much of a chance in life than the most socio-economically advantaged group. </w:t>
      </w:r>
      <w:r w:rsidR="00D00642" w:rsidRPr="0081090C">
        <w:rPr>
          <w:rStyle w:val="Hyperlink"/>
          <w:rFonts w:ascii="Times New Roman" w:hAnsi="Times New Roman" w:cs="Times New Roman"/>
          <w:color w:val="000000" w:themeColor="text1"/>
          <w:sz w:val="24"/>
          <w:szCs w:val="24"/>
          <w:u w:val="none"/>
        </w:rPr>
        <w:t xml:space="preserve">A recent study by Jerrim and Carvajal (2024) investigated how a </w:t>
      </w:r>
      <w:r w:rsidR="006D3A62" w:rsidRPr="0081090C">
        <w:rPr>
          <w:rStyle w:val="Hyperlink"/>
          <w:rFonts w:ascii="Times New Roman" w:hAnsi="Times New Roman" w:cs="Times New Roman"/>
          <w:color w:val="000000" w:themeColor="text1"/>
          <w:sz w:val="24"/>
          <w:szCs w:val="24"/>
          <w:u w:val="none"/>
        </w:rPr>
        <w:t>range of outcome</w:t>
      </w:r>
      <w:r w:rsidR="00013C0B">
        <w:rPr>
          <w:rStyle w:val="Hyperlink"/>
          <w:rFonts w:ascii="Times New Roman" w:hAnsi="Times New Roman" w:cs="Times New Roman"/>
          <w:color w:val="000000" w:themeColor="text1"/>
          <w:sz w:val="24"/>
          <w:szCs w:val="24"/>
          <w:u w:val="none"/>
        </w:rPr>
        <w:t>s</w:t>
      </w:r>
      <w:r w:rsidR="00D00642" w:rsidRPr="0081090C">
        <w:rPr>
          <w:rStyle w:val="Hyperlink"/>
          <w:rFonts w:ascii="Times New Roman" w:hAnsi="Times New Roman" w:cs="Times New Roman"/>
          <w:color w:val="000000" w:themeColor="text1"/>
          <w:sz w:val="24"/>
          <w:szCs w:val="24"/>
          <w:u w:val="none"/>
        </w:rPr>
        <w:t xml:space="preserve"> varied across 5-year-olds with strong test scores who were from different socio-economic backgrounds. They found that high-achieving children from poor backgrounds were more likely to report becoming disengaged in school, </w:t>
      </w:r>
      <w:r w:rsidR="002B2F50" w:rsidRPr="0081090C">
        <w:rPr>
          <w:rStyle w:val="Hyperlink"/>
          <w:rFonts w:ascii="Times New Roman" w:hAnsi="Times New Roman" w:cs="Times New Roman"/>
          <w:color w:val="000000" w:themeColor="text1"/>
          <w:sz w:val="24"/>
          <w:szCs w:val="24"/>
          <w:u w:val="none"/>
        </w:rPr>
        <w:t>to engage in risky behaviours (e.g. smoking, drinking, taking drugs) and having brushes with the law than their more socio-economically advantaged peers.</w:t>
      </w:r>
    </w:p>
    <w:p w14:paraId="0A91483F" w14:textId="4D7FD71F" w:rsidR="00164F6D" w:rsidRPr="0081090C" w:rsidRDefault="00164F6D" w:rsidP="005C7B13">
      <w:pPr>
        <w:spacing w:line="360" w:lineRule="auto"/>
        <w:jc w:val="both"/>
        <w:rPr>
          <w:rStyle w:val="Hyperlink"/>
          <w:rFonts w:ascii="Times New Roman" w:hAnsi="Times New Roman" w:cs="Times New Roman"/>
          <w:color w:val="000000" w:themeColor="text1"/>
          <w:sz w:val="24"/>
          <w:szCs w:val="24"/>
          <w:u w:val="none"/>
        </w:rPr>
      </w:pPr>
      <w:r w:rsidRPr="0081090C">
        <w:rPr>
          <w:rStyle w:val="Hyperlink"/>
          <w:rFonts w:ascii="Times New Roman" w:hAnsi="Times New Roman" w:cs="Times New Roman"/>
          <w:color w:val="000000" w:themeColor="text1"/>
          <w:sz w:val="24"/>
          <w:szCs w:val="24"/>
          <w:u w:val="none"/>
        </w:rPr>
        <w:t xml:space="preserve">While insightful, a notable limitation with this existing literature is the lack of evidence on disadvantaged high-achieving children’s broader behavioural outcomes. For instance, to what extent do initially high-achieving children from poor backgrounds start to display serious behavioural issues during secondary </w:t>
      </w:r>
      <w:r w:rsidR="00EB7821">
        <w:rPr>
          <w:rStyle w:val="Hyperlink"/>
          <w:rFonts w:ascii="Times New Roman" w:hAnsi="Times New Roman" w:cs="Times New Roman"/>
          <w:color w:val="000000" w:themeColor="text1"/>
          <w:sz w:val="24"/>
          <w:szCs w:val="24"/>
          <w:u w:val="none"/>
        </w:rPr>
        <w:t>education</w:t>
      </w:r>
      <w:r w:rsidRPr="0081090C">
        <w:rPr>
          <w:rStyle w:val="Hyperlink"/>
          <w:rFonts w:ascii="Times New Roman" w:hAnsi="Times New Roman" w:cs="Times New Roman"/>
          <w:color w:val="000000" w:themeColor="text1"/>
          <w:sz w:val="24"/>
          <w:szCs w:val="24"/>
          <w:u w:val="none"/>
        </w:rPr>
        <w:t>, such as being persistently absent or excluded</w:t>
      </w:r>
      <w:r w:rsidR="00EB7821">
        <w:rPr>
          <w:rStyle w:val="Hyperlink"/>
          <w:rFonts w:ascii="Times New Roman" w:hAnsi="Times New Roman" w:cs="Times New Roman"/>
          <w:color w:val="000000" w:themeColor="text1"/>
          <w:sz w:val="24"/>
          <w:szCs w:val="24"/>
          <w:u w:val="none"/>
        </w:rPr>
        <w:t xml:space="preserve"> from school</w:t>
      </w:r>
      <w:r w:rsidRPr="0081090C">
        <w:rPr>
          <w:rStyle w:val="Hyperlink"/>
          <w:rFonts w:ascii="Times New Roman" w:hAnsi="Times New Roman" w:cs="Times New Roman"/>
          <w:color w:val="000000" w:themeColor="text1"/>
          <w:sz w:val="24"/>
          <w:szCs w:val="24"/>
          <w:u w:val="none"/>
        </w:rPr>
        <w:t xml:space="preserve">, and at what point do such issues emerge? </w:t>
      </w:r>
      <w:r w:rsidR="0078099E" w:rsidRPr="0081090C">
        <w:rPr>
          <w:rStyle w:val="Hyperlink"/>
          <w:rFonts w:ascii="Times New Roman" w:hAnsi="Times New Roman" w:cs="Times New Roman"/>
          <w:color w:val="000000" w:themeColor="text1"/>
          <w:sz w:val="24"/>
          <w:szCs w:val="24"/>
          <w:u w:val="none"/>
        </w:rPr>
        <w:t>This is important as failing to attend school – or consistently breaching school rules – is a marker of academic disengagement, and thus likely to coincide with a tail-off in their academic performance.</w:t>
      </w:r>
      <w:r w:rsidR="00DB5989">
        <w:rPr>
          <w:rStyle w:val="Hyperlink"/>
          <w:rFonts w:ascii="Times New Roman" w:hAnsi="Times New Roman" w:cs="Times New Roman"/>
          <w:color w:val="000000" w:themeColor="text1"/>
          <w:sz w:val="24"/>
          <w:szCs w:val="24"/>
          <w:u w:val="none"/>
        </w:rPr>
        <w:t xml:space="preserve"> We however also view these outcomes as important indicators in their own right.</w:t>
      </w:r>
      <w:r w:rsidR="0078099E" w:rsidRPr="0081090C">
        <w:rPr>
          <w:rStyle w:val="Hyperlink"/>
          <w:rFonts w:ascii="Times New Roman" w:hAnsi="Times New Roman" w:cs="Times New Roman"/>
          <w:color w:val="000000" w:themeColor="text1"/>
          <w:sz w:val="24"/>
          <w:szCs w:val="24"/>
          <w:u w:val="none"/>
        </w:rPr>
        <w:t xml:space="preserve"> Likewise, prior research into “gifted” children more generally (not focused on those from poor backgrounds) has noted how such behavioural issues can emerge, either due to factors such as boredom in the classroom (</w:t>
      </w:r>
      <w:r w:rsidR="0006213A">
        <w:rPr>
          <w:rStyle w:val="Hyperlink"/>
          <w:rFonts w:ascii="Times New Roman" w:hAnsi="Times New Roman" w:cs="Times New Roman"/>
          <w:color w:val="000000" w:themeColor="text1"/>
          <w:sz w:val="24"/>
          <w:szCs w:val="24"/>
          <w:u w:val="none"/>
        </w:rPr>
        <w:t>Diezmann &amp; Watters, 1997</w:t>
      </w:r>
      <w:r w:rsidR="0078099E" w:rsidRPr="0081090C">
        <w:rPr>
          <w:rStyle w:val="Hyperlink"/>
          <w:rFonts w:ascii="Times New Roman" w:hAnsi="Times New Roman" w:cs="Times New Roman"/>
          <w:color w:val="000000" w:themeColor="text1"/>
          <w:sz w:val="24"/>
          <w:szCs w:val="24"/>
          <w:u w:val="none"/>
        </w:rPr>
        <w:t>)</w:t>
      </w:r>
      <w:r w:rsidR="00C11D6B" w:rsidRPr="0081090C">
        <w:rPr>
          <w:rStyle w:val="Hyperlink"/>
          <w:rFonts w:ascii="Times New Roman" w:hAnsi="Times New Roman" w:cs="Times New Roman"/>
          <w:color w:val="000000" w:themeColor="text1"/>
          <w:sz w:val="24"/>
          <w:szCs w:val="24"/>
          <w:u w:val="none"/>
        </w:rPr>
        <w:t xml:space="preserve"> or from their academic prowess making them stand out from their school peers, </w:t>
      </w:r>
      <w:r w:rsidR="00E95700" w:rsidRPr="0081090C">
        <w:rPr>
          <w:rStyle w:val="Hyperlink"/>
          <w:rFonts w:ascii="Times New Roman" w:hAnsi="Times New Roman" w:cs="Times New Roman"/>
          <w:color w:val="000000" w:themeColor="text1"/>
          <w:sz w:val="24"/>
          <w:szCs w:val="24"/>
          <w:u w:val="none"/>
        </w:rPr>
        <w:t>including their attempts to “fit-in” (</w:t>
      </w:r>
      <w:r w:rsidR="00C63248">
        <w:rPr>
          <w:rStyle w:val="Hyperlink"/>
          <w:rFonts w:ascii="Times New Roman" w:hAnsi="Times New Roman" w:cs="Times New Roman"/>
          <w:color w:val="000000" w:themeColor="text1"/>
          <w:sz w:val="24"/>
          <w:szCs w:val="24"/>
          <w:u w:val="none"/>
        </w:rPr>
        <w:t>Schall et al., 2014</w:t>
      </w:r>
      <w:r w:rsidR="00E95700" w:rsidRPr="0081090C">
        <w:rPr>
          <w:rStyle w:val="Hyperlink"/>
          <w:rFonts w:ascii="Times New Roman" w:hAnsi="Times New Roman" w:cs="Times New Roman"/>
          <w:color w:val="000000" w:themeColor="text1"/>
          <w:sz w:val="24"/>
          <w:szCs w:val="24"/>
          <w:u w:val="none"/>
        </w:rPr>
        <w:t>) or from being bullie</w:t>
      </w:r>
      <w:r w:rsidR="00E95700" w:rsidRPr="0006213A">
        <w:rPr>
          <w:rStyle w:val="Hyperlink"/>
          <w:rFonts w:ascii="Times New Roman" w:hAnsi="Times New Roman" w:cs="Times New Roman"/>
          <w:color w:val="000000" w:themeColor="text1"/>
          <w:sz w:val="24"/>
          <w:szCs w:val="24"/>
          <w:u w:val="none"/>
        </w:rPr>
        <w:t>d (</w:t>
      </w:r>
      <w:r w:rsidR="0006213A" w:rsidRPr="0006213A">
        <w:rPr>
          <w:rFonts w:ascii="Times New Roman" w:hAnsi="Times New Roman" w:cs="Times New Roman"/>
          <w:sz w:val="24"/>
          <w:szCs w:val="24"/>
        </w:rPr>
        <w:t>Martínez-Monteagud et al., 2023</w:t>
      </w:r>
      <w:r w:rsidR="00E95700" w:rsidRPr="0006213A">
        <w:rPr>
          <w:rStyle w:val="Hyperlink"/>
          <w:rFonts w:ascii="Times New Roman" w:hAnsi="Times New Roman" w:cs="Times New Roman"/>
          <w:color w:val="000000" w:themeColor="text1"/>
          <w:sz w:val="24"/>
          <w:szCs w:val="24"/>
          <w:u w:val="none"/>
        </w:rPr>
        <w:t>)</w:t>
      </w:r>
      <w:r w:rsidR="00E95700" w:rsidRPr="0081090C">
        <w:rPr>
          <w:rStyle w:val="Hyperlink"/>
          <w:rFonts w:ascii="Times New Roman" w:hAnsi="Times New Roman" w:cs="Times New Roman"/>
          <w:color w:val="000000" w:themeColor="text1"/>
          <w:sz w:val="24"/>
          <w:szCs w:val="24"/>
          <w:u w:val="none"/>
        </w:rPr>
        <w:t>. Yet engaging in such behaviours is a known risk factor for several poor later lifetime outcomes, such as lower levels of educational achievement (</w:t>
      </w:r>
      <w:r w:rsidR="0048592D">
        <w:rPr>
          <w:rStyle w:val="Hyperlink"/>
          <w:rFonts w:ascii="Times New Roman" w:hAnsi="Times New Roman" w:cs="Times New Roman"/>
          <w:color w:val="000000" w:themeColor="text1"/>
          <w:sz w:val="24"/>
          <w:szCs w:val="24"/>
          <w:u w:val="none"/>
        </w:rPr>
        <w:t>Klein &amp; Sosu, 2024</w:t>
      </w:r>
      <w:r w:rsidR="00E95700" w:rsidRPr="0081090C">
        <w:rPr>
          <w:rStyle w:val="Hyperlink"/>
          <w:rFonts w:ascii="Times New Roman" w:hAnsi="Times New Roman" w:cs="Times New Roman"/>
          <w:color w:val="000000" w:themeColor="text1"/>
          <w:sz w:val="24"/>
          <w:szCs w:val="24"/>
          <w:u w:val="none"/>
        </w:rPr>
        <w:t xml:space="preserve">) and an increased likelihood </w:t>
      </w:r>
      <w:r w:rsidR="0058313E">
        <w:rPr>
          <w:rStyle w:val="Hyperlink"/>
          <w:rFonts w:ascii="Times New Roman" w:hAnsi="Times New Roman" w:cs="Times New Roman"/>
          <w:color w:val="000000" w:themeColor="text1"/>
          <w:sz w:val="24"/>
          <w:szCs w:val="24"/>
          <w:u w:val="none"/>
        </w:rPr>
        <w:t>of</w:t>
      </w:r>
      <w:r w:rsidR="00E95700" w:rsidRPr="0081090C">
        <w:rPr>
          <w:rStyle w:val="Hyperlink"/>
          <w:rFonts w:ascii="Times New Roman" w:hAnsi="Times New Roman" w:cs="Times New Roman"/>
          <w:color w:val="000000" w:themeColor="text1"/>
          <w:sz w:val="24"/>
          <w:szCs w:val="24"/>
          <w:u w:val="none"/>
        </w:rPr>
        <w:t xml:space="preserve"> engaging in criminal activity (</w:t>
      </w:r>
      <w:r w:rsidR="00C63248">
        <w:rPr>
          <w:rStyle w:val="Hyperlink"/>
          <w:rFonts w:ascii="Times New Roman" w:hAnsi="Times New Roman" w:cs="Times New Roman"/>
          <w:color w:val="000000" w:themeColor="text1"/>
          <w:sz w:val="24"/>
          <w:szCs w:val="24"/>
          <w:u w:val="none"/>
        </w:rPr>
        <w:t>Mazerolle et al., 2019</w:t>
      </w:r>
      <w:r w:rsidR="00E95700" w:rsidRPr="0081090C">
        <w:rPr>
          <w:rStyle w:val="Hyperlink"/>
          <w:rFonts w:ascii="Times New Roman" w:hAnsi="Times New Roman" w:cs="Times New Roman"/>
          <w:color w:val="000000" w:themeColor="text1"/>
          <w:sz w:val="24"/>
          <w:szCs w:val="24"/>
          <w:u w:val="none"/>
        </w:rPr>
        <w:t>).</w:t>
      </w:r>
      <w:r w:rsidR="00CF1FCF" w:rsidRPr="0081090C">
        <w:rPr>
          <w:rStyle w:val="Hyperlink"/>
          <w:rFonts w:ascii="Times New Roman" w:hAnsi="Times New Roman" w:cs="Times New Roman"/>
          <w:color w:val="000000" w:themeColor="text1"/>
          <w:sz w:val="24"/>
          <w:szCs w:val="24"/>
          <w:u w:val="none"/>
        </w:rPr>
        <w:t xml:space="preserve"> Indeed, the last thing that society needs is for its </w:t>
      </w:r>
      <w:r w:rsidR="004D7E43">
        <w:rPr>
          <w:rStyle w:val="Hyperlink"/>
          <w:rFonts w:ascii="Times New Roman" w:hAnsi="Times New Roman" w:cs="Times New Roman"/>
          <w:color w:val="000000" w:themeColor="text1"/>
          <w:sz w:val="24"/>
          <w:szCs w:val="24"/>
          <w:u w:val="none"/>
        </w:rPr>
        <w:t>highest-achieving</w:t>
      </w:r>
      <w:r w:rsidR="00CF1FCF" w:rsidRPr="0081090C">
        <w:rPr>
          <w:rStyle w:val="Hyperlink"/>
          <w:rFonts w:ascii="Times New Roman" w:hAnsi="Times New Roman" w:cs="Times New Roman"/>
          <w:color w:val="000000" w:themeColor="text1"/>
          <w:sz w:val="24"/>
          <w:szCs w:val="24"/>
          <w:u w:val="none"/>
        </w:rPr>
        <w:t xml:space="preserve"> young people from socio-economically vulnerable homes</w:t>
      </w:r>
      <w:r w:rsidR="0058313E">
        <w:rPr>
          <w:rStyle w:val="Hyperlink"/>
          <w:rFonts w:ascii="Times New Roman" w:hAnsi="Times New Roman" w:cs="Times New Roman"/>
          <w:color w:val="000000" w:themeColor="text1"/>
          <w:sz w:val="24"/>
          <w:szCs w:val="24"/>
          <w:u w:val="none"/>
        </w:rPr>
        <w:t xml:space="preserve"> to become</w:t>
      </w:r>
      <w:r w:rsidR="00CF1FCF" w:rsidRPr="0081090C">
        <w:rPr>
          <w:rStyle w:val="Hyperlink"/>
          <w:rFonts w:ascii="Times New Roman" w:hAnsi="Times New Roman" w:cs="Times New Roman"/>
          <w:color w:val="000000" w:themeColor="text1"/>
          <w:sz w:val="24"/>
          <w:szCs w:val="24"/>
          <w:u w:val="none"/>
        </w:rPr>
        <w:t xml:space="preserve"> </w:t>
      </w:r>
      <w:r w:rsidR="0058313E">
        <w:rPr>
          <w:rStyle w:val="Hyperlink"/>
          <w:rFonts w:ascii="Times New Roman" w:hAnsi="Times New Roman" w:cs="Times New Roman"/>
          <w:color w:val="000000" w:themeColor="text1"/>
          <w:sz w:val="24"/>
          <w:szCs w:val="24"/>
          <w:u w:val="none"/>
        </w:rPr>
        <w:t>engaged</w:t>
      </w:r>
      <w:r w:rsidR="00CF1FCF" w:rsidRPr="0081090C">
        <w:rPr>
          <w:rStyle w:val="Hyperlink"/>
          <w:rFonts w:ascii="Times New Roman" w:hAnsi="Times New Roman" w:cs="Times New Roman"/>
          <w:color w:val="000000" w:themeColor="text1"/>
          <w:sz w:val="24"/>
          <w:szCs w:val="24"/>
          <w:u w:val="none"/>
        </w:rPr>
        <w:t xml:space="preserve"> in serious crime.</w:t>
      </w:r>
    </w:p>
    <w:p w14:paraId="61C852F9" w14:textId="096712D5" w:rsidR="00942824" w:rsidRPr="0081090C" w:rsidRDefault="00CF1FCF" w:rsidP="00942824">
      <w:pPr>
        <w:spacing w:line="360" w:lineRule="auto"/>
        <w:jc w:val="both"/>
        <w:rPr>
          <w:rFonts w:ascii="Times New Roman" w:hAnsi="Times New Roman" w:cs="Times New Roman"/>
          <w:sz w:val="24"/>
          <w:szCs w:val="24"/>
        </w:rPr>
      </w:pPr>
      <w:r w:rsidRPr="0081090C">
        <w:rPr>
          <w:rStyle w:val="Hyperlink"/>
          <w:rFonts w:ascii="Times New Roman" w:hAnsi="Times New Roman" w:cs="Times New Roman"/>
          <w:color w:val="000000" w:themeColor="text1"/>
          <w:sz w:val="24"/>
          <w:szCs w:val="24"/>
          <w:u w:val="none"/>
        </w:rPr>
        <w:lastRenderedPageBreak/>
        <w:t>The overarching aim of this paper is to contribute</w:t>
      </w:r>
      <w:r w:rsidR="0058313E">
        <w:rPr>
          <w:rStyle w:val="Hyperlink"/>
          <w:rFonts w:ascii="Times New Roman" w:hAnsi="Times New Roman" w:cs="Times New Roman"/>
          <w:color w:val="000000" w:themeColor="text1"/>
          <w:sz w:val="24"/>
          <w:szCs w:val="24"/>
          <w:u w:val="none"/>
        </w:rPr>
        <w:t xml:space="preserve"> new evidence on such matters</w:t>
      </w:r>
      <w:r w:rsidRPr="0081090C">
        <w:rPr>
          <w:rStyle w:val="Hyperlink"/>
          <w:rFonts w:ascii="Times New Roman" w:hAnsi="Times New Roman" w:cs="Times New Roman"/>
          <w:color w:val="000000" w:themeColor="text1"/>
          <w:sz w:val="24"/>
          <w:szCs w:val="24"/>
          <w:u w:val="none"/>
        </w:rPr>
        <w:t xml:space="preserve"> to the</w:t>
      </w:r>
      <w:r w:rsidR="0058313E">
        <w:rPr>
          <w:rStyle w:val="Hyperlink"/>
          <w:rFonts w:ascii="Times New Roman" w:hAnsi="Times New Roman" w:cs="Times New Roman"/>
          <w:color w:val="000000" w:themeColor="text1"/>
          <w:sz w:val="24"/>
          <w:szCs w:val="24"/>
          <w:u w:val="none"/>
        </w:rPr>
        <w:t xml:space="preserve"> existing</w:t>
      </w:r>
      <w:r w:rsidRPr="0081090C">
        <w:rPr>
          <w:rStyle w:val="Hyperlink"/>
          <w:rFonts w:ascii="Times New Roman" w:hAnsi="Times New Roman" w:cs="Times New Roman"/>
          <w:color w:val="000000" w:themeColor="text1"/>
          <w:sz w:val="24"/>
          <w:szCs w:val="24"/>
          <w:u w:val="none"/>
        </w:rPr>
        <w:t xml:space="preserve"> literature</w:t>
      </w:r>
      <w:r w:rsidR="0058313E">
        <w:rPr>
          <w:rStyle w:val="Hyperlink"/>
          <w:rFonts w:ascii="Times New Roman" w:hAnsi="Times New Roman" w:cs="Times New Roman"/>
          <w:color w:val="000000" w:themeColor="text1"/>
          <w:sz w:val="24"/>
          <w:szCs w:val="24"/>
          <w:u w:val="none"/>
        </w:rPr>
        <w:t>. Specifically, it documents how</w:t>
      </w:r>
      <w:r w:rsidRPr="0081090C">
        <w:rPr>
          <w:rStyle w:val="Hyperlink"/>
          <w:rFonts w:ascii="Times New Roman" w:hAnsi="Times New Roman" w:cs="Times New Roman"/>
          <w:color w:val="000000" w:themeColor="text1"/>
          <w:sz w:val="24"/>
          <w:szCs w:val="24"/>
          <w:u w:val="none"/>
        </w:rPr>
        <w:t xml:space="preserve"> serious behavioural issues</w:t>
      </w:r>
      <w:r w:rsidR="0058313E">
        <w:rPr>
          <w:rStyle w:val="Hyperlink"/>
          <w:rFonts w:ascii="Times New Roman" w:hAnsi="Times New Roman" w:cs="Times New Roman"/>
          <w:color w:val="000000" w:themeColor="text1"/>
          <w:sz w:val="24"/>
          <w:szCs w:val="24"/>
          <w:u w:val="none"/>
        </w:rPr>
        <w:t xml:space="preserve"> </w:t>
      </w:r>
      <w:r w:rsidR="0058313E" w:rsidRPr="0081090C">
        <w:rPr>
          <w:rStyle w:val="Hyperlink"/>
          <w:rFonts w:ascii="Times New Roman" w:hAnsi="Times New Roman" w:cs="Times New Roman"/>
          <w:color w:val="000000" w:themeColor="text1"/>
          <w:sz w:val="24"/>
          <w:szCs w:val="24"/>
          <w:u w:val="none"/>
        </w:rPr>
        <w:t>during adolescence and into early adulthood</w:t>
      </w:r>
      <w:r w:rsidR="0058313E">
        <w:rPr>
          <w:rStyle w:val="Hyperlink"/>
          <w:rFonts w:ascii="Times New Roman" w:hAnsi="Times New Roman" w:cs="Times New Roman"/>
          <w:color w:val="000000" w:themeColor="text1"/>
          <w:sz w:val="24"/>
          <w:szCs w:val="24"/>
          <w:u w:val="none"/>
        </w:rPr>
        <w:t xml:space="preserve"> differ across children from different socio-economic backgrounds, who were amongst the highest academic achievers at the end of primary school</w:t>
      </w:r>
      <w:r w:rsidRPr="0081090C">
        <w:rPr>
          <w:rStyle w:val="Hyperlink"/>
          <w:rFonts w:ascii="Times New Roman" w:hAnsi="Times New Roman" w:cs="Times New Roman"/>
          <w:color w:val="000000" w:themeColor="text1"/>
          <w:sz w:val="24"/>
          <w:szCs w:val="24"/>
          <w:u w:val="none"/>
        </w:rPr>
        <w:t>.</w:t>
      </w:r>
      <w:r w:rsidR="00942824" w:rsidRPr="0081090C">
        <w:rPr>
          <w:rStyle w:val="Hyperlink"/>
          <w:rFonts w:ascii="Times New Roman" w:hAnsi="Times New Roman" w:cs="Times New Roman"/>
          <w:color w:val="000000" w:themeColor="text1"/>
          <w:sz w:val="24"/>
          <w:szCs w:val="24"/>
          <w:u w:val="none"/>
        </w:rPr>
        <w:t xml:space="preserve"> The only previous study to consider this issue in detail was Jerrim and</w:t>
      </w:r>
      <w:r w:rsidR="00942824" w:rsidRPr="0081090C">
        <w:rPr>
          <w:rFonts w:ascii="Times New Roman" w:hAnsi="Times New Roman" w:cs="Times New Roman"/>
          <w:sz w:val="24"/>
          <w:szCs w:val="24"/>
        </w:rPr>
        <w:t xml:space="preserve"> Carvajal (2024),</w:t>
      </w:r>
      <w:r w:rsidR="00D84E6D" w:rsidRPr="0081090C">
        <w:rPr>
          <w:rFonts w:ascii="Times New Roman" w:hAnsi="Times New Roman" w:cs="Times New Roman"/>
          <w:sz w:val="24"/>
          <w:szCs w:val="24"/>
        </w:rPr>
        <w:t xml:space="preserve"> who found that initially high-achieving young people from poor backgrounds were more likely to report engaging in antisocial behaviour, fraternising with a more troublesome peer group and having brushes with the law as teenagers than their equally able but more socio-economically advantaged peers. That work was, however, based on survey data including only around 300 disadvantaged high-achieving young people, surveyed just twice during their teenage years (ages 14 and 17). We advance on this work by using recently linked administrative data </w:t>
      </w:r>
      <w:r w:rsidR="0058313E">
        <w:rPr>
          <w:rFonts w:ascii="Times New Roman" w:hAnsi="Times New Roman" w:cs="Times New Roman"/>
          <w:sz w:val="24"/>
          <w:szCs w:val="24"/>
        </w:rPr>
        <w:t>from</w:t>
      </w:r>
      <w:r w:rsidR="00D84E6D" w:rsidRPr="0081090C">
        <w:rPr>
          <w:rFonts w:ascii="Times New Roman" w:hAnsi="Times New Roman" w:cs="Times New Roman"/>
          <w:sz w:val="24"/>
          <w:szCs w:val="24"/>
        </w:rPr>
        <w:t xml:space="preserve"> England, tracking school behaviour and </w:t>
      </w:r>
      <w:r w:rsidR="0058313E">
        <w:rPr>
          <w:rFonts w:ascii="Times New Roman" w:hAnsi="Times New Roman" w:cs="Times New Roman"/>
          <w:sz w:val="24"/>
          <w:szCs w:val="24"/>
        </w:rPr>
        <w:t>criminal cautions/sentences</w:t>
      </w:r>
      <w:r w:rsidR="00D84E6D" w:rsidRPr="0081090C">
        <w:rPr>
          <w:rFonts w:ascii="Times New Roman" w:hAnsi="Times New Roman" w:cs="Times New Roman"/>
          <w:sz w:val="24"/>
          <w:szCs w:val="24"/>
        </w:rPr>
        <w:t xml:space="preserve"> for three entire state school cohorts. These data have some significant advantages, including allowing us to track young people’s absences</w:t>
      </w:r>
      <w:r w:rsidR="0078022A">
        <w:rPr>
          <w:rFonts w:ascii="Times New Roman" w:hAnsi="Times New Roman" w:cs="Times New Roman"/>
          <w:sz w:val="24"/>
          <w:szCs w:val="24"/>
        </w:rPr>
        <w:t>, exclusions</w:t>
      </w:r>
      <w:r w:rsidR="00D84E6D" w:rsidRPr="0081090C">
        <w:rPr>
          <w:rFonts w:ascii="Times New Roman" w:hAnsi="Times New Roman" w:cs="Times New Roman"/>
          <w:sz w:val="24"/>
          <w:szCs w:val="24"/>
        </w:rPr>
        <w:t xml:space="preserve"> and</w:t>
      </w:r>
      <w:r w:rsidR="00186A94">
        <w:rPr>
          <w:rFonts w:ascii="Times New Roman" w:hAnsi="Times New Roman" w:cs="Times New Roman"/>
          <w:sz w:val="24"/>
          <w:szCs w:val="24"/>
        </w:rPr>
        <w:t xml:space="preserve"> cautions/sentences</w:t>
      </w:r>
      <w:r w:rsidR="00D84E6D" w:rsidRPr="0081090C">
        <w:rPr>
          <w:rFonts w:ascii="Times New Roman" w:hAnsi="Times New Roman" w:cs="Times New Roman"/>
          <w:sz w:val="24"/>
          <w:szCs w:val="24"/>
        </w:rPr>
        <w:t xml:space="preserve"> </w:t>
      </w:r>
      <w:r w:rsidR="0058313E">
        <w:rPr>
          <w:rFonts w:ascii="Times New Roman" w:hAnsi="Times New Roman" w:cs="Times New Roman"/>
          <w:sz w:val="24"/>
          <w:szCs w:val="24"/>
        </w:rPr>
        <w:t>throughout their time at secondary</w:t>
      </w:r>
      <w:r w:rsidR="00D84E6D" w:rsidRPr="0081090C">
        <w:rPr>
          <w:rFonts w:ascii="Times New Roman" w:hAnsi="Times New Roman" w:cs="Times New Roman"/>
          <w:sz w:val="24"/>
          <w:szCs w:val="24"/>
        </w:rPr>
        <w:t xml:space="preserve"> school (thus potentially identifying key ages / time points when the behaviour of high-achieving disadvantaged young people starts to tail off)</w:t>
      </w:r>
      <w:r w:rsidR="0058313E">
        <w:rPr>
          <w:rFonts w:ascii="Times New Roman" w:hAnsi="Times New Roman" w:cs="Times New Roman"/>
          <w:sz w:val="24"/>
          <w:szCs w:val="24"/>
        </w:rPr>
        <w:t xml:space="preserve">, with </w:t>
      </w:r>
      <w:r w:rsidR="00D84E6D" w:rsidRPr="0081090C">
        <w:rPr>
          <w:rFonts w:ascii="Times New Roman" w:hAnsi="Times New Roman" w:cs="Times New Roman"/>
          <w:sz w:val="24"/>
          <w:szCs w:val="24"/>
        </w:rPr>
        <w:t xml:space="preserve">the large sample size facilitating analysis by key sub-groups (e.g. gender and ethnicity). The latter is likely to be particularly insightful, with </w:t>
      </w:r>
      <w:r w:rsidR="00DB5989">
        <w:rPr>
          <w:rFonts w:ascii="Times New Roman" w:hAnsi="Times New Roman" w:cs="Times New Roman"/>
          <w:sz w:val="24"/>
          <w:szCs w:val="24"/>
        </w:rPr>
        <w:t>there likely to be</w:t>
      </w:r>
      <w:r w:rsidR="00D84E6D" w:rsidRPr="0081090C">
        <w:rPr>
          <w:rFonts w:ascii="Times New Roman" w:hAnsi="Times New Roman" w:cs="Times New Roman"/>
          <w:sz w:val="24"/>
          <w:szCs w:val="24"/>
        </w:rPr>
        <w:t xml:space="preserve"> intersections between socio-economic background, gender and ethnicity when it comes to </w:t>
      </w:r>
      <w:r w:rsidR="0058313E">
        <w:rPr>
          <w:rFonts w:ascii="Times New Roman" w:hAnsi="Times New Roman" w:cs="Times New Roman"/>
          <w:sz w:val="24"/>
          <w:szCs w:val="24"/>
        </w:rPr>
        <w:t>absence from school</w:t>
      </w:r>
      <w:r w:rsidR="00D84E6D" w:rsidRPr="0081090C">
        <w:rPr>
          <w:rFonts w:ascii="Times New Roman" w:hAnsi="Times New Roman" w:cs="Times New Roman"/>
          <w:sz w:val="24"/>
          <w:szCs w:val="24"/>
        </w:rPr>
        <w:t xml:space="preserve"> (</w:t>
      </w:r>
      <w:r w:rsidR="0081090C">
        <w:rPr>
          <w:rFonts w:ascii="Times New Roman" w:hAnsi="Times New Roman" w:cs="Times New Roman"/>
          <w:sz w:val="24"/>
          <w:szCs w:val="24"/>
        </w:rPr>
        <w:t>Sosu et al., 2021</w:t>
      </w:r>
      <w:r w:rsidR="00D84E6D" w:rsidRPr="0081090C">
        <w:rPr>
          <w:rFonts w:ascii="Times New Roman" w:hAnsi="Times New Roman" w:cs="Times New Roman"/>
          <w:sz w:val="24"/>
          <w:szCs w:val="24"/>
        </w:rPr>
        <w:t>), school exclusions (</w:t>
      </w:r>
      <w:r w:rsidR="00850699">
        <w:rPr>
          <w:rFonts w:ascii="Times New Roman" w:hAnsi="Times New Roman" w:cs="Times New Roman"/>
          <w:sz w:val="24"/>
          <w:szCs w:val="24"/>
        </w:rPr>
        <w:t>Graham et al., 2019</w:t>
      </w:r>
      <w:r w:rsidR="00D84E6D" w:rsidRPr="0081090C">
        <w:rPr>
          <w:rFonts w:ascii="Times New Roman" w:hAnsi="Times New Roman" w:cs="Times New Roman"/>
          <w:sz w:val="24"/>
          <w:szCs w:val="24"/>
        </w:rPr>
        <w:t>) and crime (</w:t>
      </w:r>
      <w:r w:rsidR="0081090C">
        <w:rPr>
          <w:rFonts w:ascii="Times New Roman" w:hAnsi="Times New Roman" w:cs="Times New Roman"/>
          <w:sz w:val="24"/>
          <w:szCs w:val="24"/>
        </w:rPr>
        <w:t>Burgess-Proctor, 2006</w:t>
      </w:r>
      <w:r w:rsidR="00D84E6D" w:rsidRPr="0081090C">
        <w:rPr>
          <w:rFonts w:ascii="Times New Roman" w:hAnsi="Times New Roman" w:cs="Times New Roman"/>
          <w:sz w:val="24"/>
          <w:szCs w:val="24"/>
        </w:rPr>
        <w:t>).</w:t>
      </w:r>
    </w:p>
    <w:p w14:paraId="0F621218" w14:textId="3C789BD6" w:rsidR="00B949E4" w:rsidRPr="0081090C" w:rsidRDefault="00B949E4" w:rsidP="00942824">
      <w:pPr>
        <w:spacing w:line="360" w:lineRule="auto"/>
        <w:jc w:val="both"/>
        <w:rPr>
          <w:rFonts w:ascii="Times New Roman" w:hAnsi="Times New Roman" w:cs="Times New Roman"/>
          <w:sz w:val="24"/>
          <w:szCs w:val="24"/>
        </w:rPr>
      </w:pPr>
      <w:r w:rsidRPr="0081090C">
        <w:rPr>
          <w:rFonts w:ascii="Times New Roman" w:hAnsi="Times New Roman" w:cs="Times New Roman"/>
          <w:sz w:val="24"/>
          <w:szCs w:val="24"/>
        </w:rPr>
        <w:t>Thus, in summary, this paper seeks to address the following research questions:</w:t>
      </w:r>
    </w:p>
    <w:p w14:paraId="4DEA89A6" w14:textId="55CE5732" w:rsidR="00B949E4" w:rsidRPr="0081090C" w:rsidRDefault="00B949E4" w:rsidP="00B949E4">
      <w:pPr>
        <w:pStyle w:val="ListParagraph"/>
        <w:numPr>
          <w:ilvl w:val="0"/>
          <w:numId w:val="2"/>
        </w:numPr>
        <w:spacing w:line="360" w:lineRule="auto"/>
        <w:jc w:val="both"/>
        <w:rPr>
          <w:rStyle w:val="Hyperlink"/>
          <w:rFonts w:ascii="Times New Roman" w:hAnsi="Times New Roman" w:cs="Times New Roman"/>
          <w:color w:val="000000" w:themeColor="text1"/>
          <w:sz w:val="24"/>
          <w:szCs w:val="24"/>
          <w:u w:val="none"/>
        </w:rPr>
      </w:pPr>
      <w:r w:rsidRPr="0081090C">
        <w:rPr>
          <w:rStyle w:val="Hyperlink"/>
          <w:rFonts w:ascii="Times New Roman" w:hAnsi="Times New Roman" w:cs="Times New Roman"/>
          <w:color w:val="000000" w:themeColor="text1"/>
          <w:sz w:val="24"/>
          <w:szCs w:val="24"/>
          <w:u w:val="none"/>
        </w:rPr>
        <w:t>Research question 1.</w:t>
      </w:r>
      <w:r w:rsidR="00D96471" w:rsidRPr="0081090C">
        <w:rPr>
          <w:rStyle w:val="Hyperlink"/>
          <w:rFonts w:ascii="Times New Roman" w:hAnsi="Times New Roman" w:cs="Times New Roman"/>
          <w:color w:val="000000" w:themeColor="text1"/>
          <w:sz w:val="24"/>
          <w:szCs w:val="24"/>
          <w:u w:val="none"/>
        </w:rPr>
        <w:t xml:space="preserve"> How do school absences differ between high-achieving young people from different socio-economic backgrounds during secondary school? How does this vary by gender and ethnicity? </w:t>
      </w:r>
    </w:p>
    <w:p w14:paraId="3B6B954A" w14:textId="0552335D" w:rsidR="00B949E4" w:rsidRPr="0081090C" w:rsidRDefault="00B949E4" w:rsidP="00D96471">
      <w:pPr>
        <w:pStyle w:val="ListParagraph"/>
        <w:numPr>
          <w:ilvl w:val="0"/>
          <w:numId w:val="2"/>
        </w:numPr>
        <w:spacing w:line="360" w:lineRule="auto"/>
        <w:jc w:val="both"/>
        <w:rPr>
          <w:rStyle w:val="Hyperlink"/>
          <w:rFonts w:ascii="Times New Roman" w:hAnsi="Times New Roman" w:cs="Times New Roman"/>
          <w:color w:val="000000" w:themeColor="text1"/>
          <w:sz w:val="24"/>
          <w:szCs w:val="24"/>
          <w:u w:val="none"/>
        </w:rPr>
      </w:pPr>
      <w:r w:rsidRPr="0081090C">
        <w:rPr>
          <w:rStyle w:val="Hyperlink"/>
          <w:rFonts w:ascii="Times New Roman" w:hAnsi="Times New Roman" w:cs="Times New Roman"/>
          <w:color w:val="000000" w:themeColor="text1"/>
          <w:sz w:val="24"/>
          <w:szCs w:val="24"/>
          <w:u w:val="none"/>
        </w:rPr>
        <w:t>Research question 2.</w:t>
      </w:r>
      <w:r w:rsidR="00D96471" w:rsidRPr="0081090C">
        <w:rPr>
          <w:rStyle w:val="Hyperlink"/>
          <w:rFonts w:ascii="Times New Roman" w:hAnsi="Times New Roman" w:cs="Times New Roman"/>
          <w:color w:val="000000" w:themeColor="text1"/>
          <w:sz w:val="24"/>
          <w:szCs w:val="24"/>
          <w:u w:val="none"/>
        </w:rPr>
        <w:t xml:space="preserve"> How do school exclusions differ between high-achieving young people from different socio-economic backgrounds during secondary school? How does this vary by gender and ethnicity? </w:t>
      </w:r>
    </w:p>
    <w:p w14:paraId="294B0C8E" w14:textId="487590F8" w:rsidR="00B949E4" w:rsidRPr="0081090C" w:rsidRDefault="00B949E4" w:rsidP="00B949E4">
      <w:pPr>
        <w:pStyle w:val="ListParagraph"/>
        <w:numPr>
          <w:ilvl w:val="0"/>
          <w:numId w:val="2"/>
        </w:numPr>
        <w:spacing w:line="360" w:lineRule="auto"/>
        <w:jc w:val="both"/>
        <w:rPr>
          <w:rStyle w:val="Hyperlink"/>
          <w:rFonts w:ascii="Times New Roman" w:hAnsi="Times New Roman" w:cs="Times New Roman"/>
          <w:color w:val="000000" w:themeColor="text1"/>
          <w:sz w:val="24"/>
          <w:szCs w:val="24"/>
          <w:u w:val="none"/>
        </w:rPr>
      </w:pPr>
      <w:r w:rsidRPr="0081090C">
        <w:rPr>
          <w:rStyle w:val="Hyperlink"/>
          <w:rFonts w:ascii="Times New Roman" w:hAnsi="Times New Roman" w:cs="Times New Roman"/>
          <w:color w:val="000000" w:themeColor="text1"/>
          <w:sz w:val="24"/>
          <w:szCs w:val="24"/>
          <w:u w:val="none"/>
        </w:rPr>
        <w:t>Research question 3.</w:t>
      </w:r>
      <w:r w:rsidR="00D96471" w:rsidRPr="0081090C">
        <w:rPr>
          <w:rStyle w:val="Hyperlink"/>
          <w:rFonts w:ascii="Times New Roman" w:hAnsi="Times New Roman" w:cs="Times New Roman"/>
          <w:color w:val="000000" w:themeColor="text1"/>
          <w:sz w:val="24"/>
          <w:szCs w:val="24"/>
          <w:u w:val="none"/>
        </w:rPr>
        <w:t xml:space="preserve"> How do</w:t>
      </w:r>
      <w:r w:rsidR="00B34334">
        <w:rPr>
          <w:rStyle w:val="Hyperlink"/>
          <w:rFonts w:ascii="Times New Roman" w:hAnsi="Times New Roman" w:cs="Times New Roman"/>
          <w:color w:val="000000" w:themeColor="text1"/>
          <w:sz w:val="24"/>
          <w:szCs w:val="24"/>
          <w:u w:val="none"/>
        </w:rPr>
        <w:t xml:space="preserve"> rates of criminal cautions/sentences differ across</w:t>
      </w:r>
      <w:r w:rsidR="00D96471" w:rsidRPr="0081090C">
        <w:rPr>
          <w:rStyle w:val="Hyperlink"/>
          <w:rFonts w:ascii="Times New Roman" w:hAnsi="Times New Roman" w:cs="Times New Roman"/>
          <w:color w:val="000000" w:themeColor="text1"/>
          <w:sz w:val="24"/>
          <w:szCs w:val="24"/>
          <w:u w:val="none"/>
        </w:rPr>
        <w:t xml:space="preserve"> high-achieving young people from </w:t>
      </w:r>
      <w:r w:rsidR="00B34334">
        <w:rPr>
          <w:rStyle w:val="Hyperlink"/>
          <w:rFonts w:ascii="Times New Roman" w:hAnsi="Times New Roman" w:cs="Times New Roman"/>
          <w:color w:val="000000" w:themeColor="text1"/>
          <w:sz w:val="24"/>
          <w:szCs w:val="24"/>
          <w:u w:val="none"/>
        </w:rPr>
        <w:t>advantaged and disadvantaged</w:t>
      </w:r>
      <w:r w:rsidR="00D96471" w:rsidRPr="0081090C">
        <w:rPr>
          <w:rStyle w:val="Hyperlink"/>
          <w:rFonts w:ascii="Times New Roman" w:hAnsi="Times New Roman" w:cs="Times New Roman"/>
          <w:color w:val="000000" w:themeColor="text1"/>
          <w:sz w:val="24"/>
          <w:szCs w:val="24"/>
          <w:u w:val="none"/>
        </w:rPr>
        <w:t xml:space="preserve"> socio-economic backgrounds during adolescence and early adulthood? How does this vary by gender and ethnicity?</w:t>
      </w:r>
    </w:p>
    <w:p w14:paraId="53AA5C0D" w14:textId="755580C6" w:rsidR="008928E8" w:rsidRPr="00F63595" w:rsidRDefault="00B949E4" w:rsidP="00D96471">
      <w:pPr>
        <w:pStyle w:val="ListParagraph"/>
        <w:numPr>
          <w:ilvl w:val="0"/>
          <w:numId w:val="2"/>
        </w:numPr>
        <w:spacing w:line="360" w:lineRule="auto"/>
        <w:jc w:val="both"/>
        <w:rPr>
          <w:rStyle w:val="Hyperlink"/>
          <w:rFonts w:ascii="Times New Roman" w:hAnsi="Times New Roman" w:cs="Times New Roman"/>
          <w:color w:val="000000" w:themeColor="text1"/>
          <w:sz w:val="24"/>
          <w:szCs w:val="24"/>
          <w:u w:val="none"/>
        </w:rPr>
      </w:pPr>
      <w:r w:rsidRPr="0081090C">
        <w:rPr>
          <w:rStyle w:val="Hyperlink"/>
          <w:rFonts w:ascii="Times New Roman" w:hAnsi="Times New Roman" w:cs="Times New Roman"/>
          <w:color w:val="000000" w:themeColor="text1"/>
          <w:sz w:val="24"/>
          <w:szCs w:val="24"/>
          <w:u w:val="none"/>
        </w:rPr>
        <w:lastRenderedPageBreak/>
        <w:t>Research question 4.</w:t>
      </w:r>
      <w:r w:rsidR="00D96471" w:rsidRPr="0081090C">
        <w:rPr>
          <w:rStyle w:val="Hyperlink"/>
          <w:rFonts w:ascii="Times New Roman" w:hAnsi="Times New Roman" w:cs="Times New Roman"/>
          <w:color w:val="000000" w:themeColor="text1"/>
          <w:sz w:val="24"/>
          <w:szCs w:val="24"/>
          <w:u w:val="none"/>
        </w:rPr>
        <w:t xml:space="preserve"> To what extent can socio-economic differences in</w:t>
      </w:r>
      <w:r w:rsidR="00B34334">
        <w:rPr>
          <w:rStyle w:val="Hyperlink"/>
          <w:rFonts w:ascii="Times New Roman" w:hAnsi="Times New Roman" w:cs="Times New Roman"/>
          <w:color w:val="000000" w:themeColor="text1"/>
          <w:sz w:val="24"/>
          <w:szCs w:val="24"/>
          <w:u w:val="none"/>
        </w:rPr>
        <w:t xml:space="preserve"> criminal cautions/sentences</w:t>
      </w:r>
      <w:r w:rsidR="00D96471" w:rsidRPr="0081090C">
        <w:rPr>
          <w:rStyle w:val="Hyperlink"/>
          <w:rFonts w:ascii="Times New Roman" w:hAnsi="Times New Roman" w:cs="Times New Roman"/>
          <w:color w:val="000000" w:themeColor="text1"/>
          <w:sz w:val="24"/>
          <w:szCs w:val="24"/>
          <w:u w:val="none"/>
        </w:rPr>
        <w:t xml:space="preserve"> amongst</w:t>
      </w:r>
      <w:r w:rsidR="003414EB">
        <w:rPr>
          <w:rStyle w:val="Hyperlink"/>
          <w:rFonts w:ascii="Times New Roman" w:hAnsi="Times New Roman" w:cs="Times New Roman"/>
          <w:color w:val="000000" w:themeColor="text1"/>
          <w:sz w:val="24"/>
          <w:szCs w:val="24"/>
          <w:u w:val="none"/>
        </w:rPr>
        <w:t xml:space="preserve"> initially high-achieving</w:t>
      </w:r>
      <w:r w:rsidR="00D96471" w:rsidRPr="0081090C">
        <w:rPr>
          <w:rStyle w:val="Hyperlink"/>
          <w:rFonts w:ascii="Times New Roman" w:hAnsi="Times New Roman" w:cs="Times New Roman"/>
          <w:color w:val="000000" w:themeColor="text1"/>
          <w:sz w:val="24"/>
          <w:szCs w:val="24"/>
          <w:u w:val="none"/>
        </w:rPr>
        <w:t xml:space="preserve"> young people b</w:t>
      </w:r>
      <w:r w:rsidR="00F63595">
        <w:rPr>
          <w:rStyle w:val="Hyperlink"/>
          <w:rFonts w:ascii="Times New Roman" w:hAnsi="Times New Roman" w:cs="Times New Roman"/>
          <w:color w:val="000000" w:themeColor="text1"/>
          <w:sz w:val="24"/>
          <w:szCs w:val="24"/>
          <w:u w:val="none"/>
        </w:rPr>
        <w:t>e explained by</w:t>
      </w:r>
      <w:r w:rsidR="00D96471" w:rsidRPr="0081090C">
        <w:rPr>
          <w:rStyle w:val="Hyperlink"/>
          <w:rFonts w:ascii="Times New Roman" w:hAnsi="Times New Roman" w:cs="Times New Roman"/>
          <w:color w:val="000000" w:themeColor="text1"/>
          <w:sz w:val="24"/>
          <w:szCs w:val="24"/>
          <w:u w:val="none"/>
        </w:rPr>
        <w:t xml:space="preserve"> differences in their school attendance, exclusions and grades at secondary school?</w:t>
      </w:r>
    </w:p>
    <w:p w14:paraId="0AE4C932" w14:textId="7342F6C1" w:rsidR="009260F5" w:rsidRPr="0081090C" w:rsidRDefault="009260F5" w:rsidP="009260F5">
      <w:pPr>
        <w:pStyle w:val="ListParagraph"/>
        <w:numPr>
          <w:ilvl w:val="0"/>
          <w:numId w:val="1"/>
        </w:numPr>
        <w:spacing w:line="276" w:lineRule="auto"/>
        <w:jc w:val="both"/>
        <w:rPr>
          <w:rStyle w:val="Hyperlink"/>
          <w:rFonts w:ascii="Times New Roman" w:hAnsi="Times New Roman" w:cs="Times New Roman"/>
          <w:b/>
          <w:bCs/>
          <w:color w:val="000000" w:themeColor="text1"/>
          <w:sz w:val="24"/>
          <w:szCs w:val="24"/>
          <w:u w:val="none"/>
        </w:rPr>
      </w:pPr>
      <w:r w:rsidRPr="0081090C">
        <w:rPr>
          <w:rStyle w:val="Hyperlink"/>
          <w:rFonts w:ascii="Times New Roman" w:hAnsi="Times New Roman" w:cs="Times New Roman"/>
          <w:b/>
          <w:bCs/>
          <w:color w:val="000000" w:themeColor="text1"/>
          <w:sz w:val="24"/>
          <w:szCs w:val="24"/>
          <w:u w:val="none"/>
        </w:rPr>
        <w:t>Data</w:t>
      </w:r>
    </w:p>
    <w:p w14:paraId="6BFBB111" w14:textId="38F7C0FF" w:rsidR="00717DF5" w:rsidRPr="0081090C" w:rsidRDefault="00717DF5" w:rsidP="00717DF5">
      <w:pPr>
        <w:rPr>
          <w:rStyle w:val="Hyperlink"/>
          <w:rFonts w:ascii="Times New Roman" w:hAnsi="Times New Roman" w:cs="Times New Roman"/>
          <w:color w:val="000000" w:themeColor="text1"/>
          <w:sz w:val="24"/>
          <w:szCs w:val="24"/>
        </w:rPr>
      </w:pPr>
      <w:r w:rsidRPr="0081090C">
        <w:rPr>
          <w:rStyle w:val="Hyperlink"/>
          <w:rFonts w:ascii="Times New Roman" w:hAnsi="Times New Roman" w:cs="Times New Roman"/>
          <w:color w:val="000000" w:themeColor="text1"/>
          <w:sz w:val="24"/>
          <w:szCs w:val="24"/>
        </w:rPr>
        <w:t>Cohorts</w:t>
      </w:r>
    </w:p>
    <w:p w14:paraId="260DBB42" w14:textId="6E44858C" w:rsidR="00962573" w:rsidRPr="0081090C" w:rsidRDefault="008A4879" w:rsidP="00962573">
      <w:pPr>
        <w:spacing w:line="360" w:lineRule="auto"/>
        <w:jc w:val="both"/>
        <w:rPr>
          <w:rFonts w:ascii="Times New Roman" w:hAnsi="Times New Roman" w:cs="Times New Roman"/>
          <w:sz w:val="24"/>
          <w:szCs w:val="24"/>
        </w:rPr>
      </w:pPr>
      <w:r w:rsidRPr="0081090C">
        <w:rPr>
          <w:rStyle w:val="Hyperlink"/>
          <w:rFonts w:ascii="Times New Roman" w:hAnsi="Times New Roman" w:cs="Times New Roman"/>
          <w:color w:val="000000" w:themeColor="text1"/>
          <w:sz w:val="24"/>
          <w:szCs w:val="24"/>
          <w:u w:val="none"/>
        </w:rPr>
        <w:t xml:space="preserve">Our analysis draws on two administrative databases that have recently been linked in England – the </w:t>
      </w:r>
      <w:r w:rsidRPr="0081090C">
        <w:rPr>
          <w:rFonts w:ascii="Times New Roman" w:hAnsi="Times New Roman" w:cs="Times New Roman"/>
          <w:sz w:val="24"/>
          <w:szCs w:val="24"/>
        </w:rPr>
        <w:t xml:space="preserve">National Pupil Database (NPD) </w:t>
      </w:r>
      <w:r w:rsidR="008B1FA2">
        <w:rPr>
          <w:rFonts w:ascii="Times New Roman" w:hAnsi="Times New Roman" w:cs="Times New Roman"/>
          <w:sz w:val="24"/>
          <w:szCs w:val="24"/>
        </w:rPr>
        <w:t xml:space="preserve">to data from the Police National Computer (PNC). </w:t>
      </w:r>
      <w:r w:rsidR="00962573" w:rsidRPr="0081090C">
        <w:rPr>
          <w:rFonts w:ascii="Times New Roman" w:hAnsi="Times New Roman" w:cs="Times New Roman"/>
          <w:sz w:val="24"/>
          <w:szCs w:val="24"/>
        </w:rPr>
        <w:t xml:space="preserve">The former includes school records for all children attending state schools. The latter provides data on all </w:t>
      </w:r>
      <w:r w:rsidR="00E22852">
        <w:rPr>
          <w:rFonts w:ascii="Times New Roman" w:hAnsi="Times New Roman" w:cs="Times New Roman"/>
          <w:sz w:val="24"/>
          <w:szCs w:val="24"/>
        </w:rPr>
        <w:t>criminal cautions and sentences</w:t>
      </w:r>
      <w:r w:rsidR="00962573" w:rsidRPr="0081090C">
        <w:rPr>
          <w:rFonts w:ascii="Times New Roman" w:hAnsi="Times New Roman" w:cs="Times New Roman"/>
          <w:sz w:val="24"/>
          <w:szCs w:val="24"/>
        </w:rPr>
        <w:t xml:space="preserve"> in England. The data owners (Department for Education and Ministry of Justice) have linked these databases using fuzzy matching</w:t>
      </w:r>
      <w:r w:rsidR="00EA16E7">
        <w:rPr>
          <w:rFonts w:ascii="Times New Roman" w:hAnsi="Times New Roman" w:cs="Times New Roman"/>
          <w:sz w:val="24"/>
          <w:szCs w:val="24"/>
        </w:rPr>
        <w:t>, with</w:t>
      </w:r>
      <w:r w:rsidR="00962573" w:rsidRPr="0081090C">
        <w:rPr>
          <w:rFonts w:ascii="Times New Roman" w:hAnsi="Times New Roman" w:cs="Times New Roman"/>
          <w:sz w:val="24"/>
          <w:szCs w:val="24"/>
        </w:rPr>
        <w:t xml:space="preserve"> </w:t>
      </w:r>
      <w:r w:rsidR="008B1FA2">
        <w:rPr>
          <w:rFonts w:ascii="Times New Roman" w:hAnsi="Times New Roman" w:cs="Times New Roman"/>
          <w:sz w:val="24"/>
          <w:szCs w:val="24"/>
        </w:rPr>
        <w:t>details of th</w:t>
      </w:r>
      <w:r w:rsidR="00EA16E7">
        <w:rPr>
          <w:rFonts w:ascii="Times New Roman" w:hAnsi="Times New Roman" w:cs="Times New Roman"/>
          <w:sz w:val="24"/>
          <w:szCs w:val="24"/>
        </w:rPr>
        <w:t>e</w:t>
      </w:r>
      <w:r w:rsidR="008B1FA2">
        <w:rPr>
          <w:rFonts w:ascii="Times New Roman" w:hAnsi="Times New Roman" w:cs="Times New Roman"/>
          <w:sz w:val="24"/>
          <w:szCs w:val="24"/>
        </w:rPr>
        <w:t xml:space="preserve"> process</w:t>
      </w:r>
      <w:r w:rsidR="00EA16E7">
        <w:rPr>
          <w:rFonts w:ascii="Times New Roman" w:hAnsi="Times New Roman" w:cs="Times New Roman"/>
          <w:sz w:val="24"/>
          <w:szCs w:val="24"/>
        </w:rPr>
        <w:t xml:space="preserve"> used provided by</w:t>
      </w:r>
      <w:r w:rsidR="008B1FA2">
        <w:rPr>
          <w:rFonts w:ascii="Times New Roman" w:hAnsi="Times New Roman" w:cs="Times New Roman"/>
          <w:sz w:val="24"/>
          <w:szCs w:val="24"/>
        </w:rPr>
        <w:t xml:space="preserve"> Ministry of Justice </w:t>
      </w:r>
      <w:r w:rsidR="00EA16E7">
        <w:rPr>
          <w:rFonts w:ascii="Times New Roman" w:hAnsi="Times New Roman" w:cs="Times New Roman"/>
          <w:sz w:val="24"/>
          <w:szCs w:val="24"/>
        </w:rPr>
        <w:t>(</w:t>
      </w:r>
      <w:r w:rsidR="008B1FA2">
        <w:rPr>
          <w:rFonts w:ascii="Times New Roman" w:hAnsi="Times New Roman" w:cs="Times New Roman"/>
          <w:sz w:val="24"/>
          <w:szCs w:val="24"/>
        </w:rPr>
        <w:t>2022</w:t>
      </w:r>
      <w:r w:rsidR="00962573" w:rsidRPr="0081090C">
        <w:rPr>
          <w:rFonts w:ascii="Times New Roman" w:hAnsi="Times New Roman" w:cs="Times New Roman"/>
          <w:sz w:val="24"/>
          <w:szCs w:val="24"/>
        </w:rPr>
        <w:t xml:space="preserve">). Consequently, for state school pupils in England, the linked database includes information on each time they have been </w:t>
      </w:r>
      <w:r w:rsidR="00480AEF">
        <w:rPr>
          <w:rFonts w:ascii="Times New Roman" w:hAnsi="Times New Roman" w:cs="Times New Roman"/>
          <w:sz w:val="24"/>
          <w:szCs w:val="24"/>
        </w:rPr>
        <w:t>cautioned or sentenced</w:t>
      </w:r>
      <w:r w:rsidR="00962573" w:rsidRPr="0081090C">
        <w:rPr>
          <w:rFonts w:ascii="Times New Roman" w:hAnsi="Times New Roman" w:cs="Times New Roman"/>
          <w:sz w:val="24"/>
          <w:szCs w:val="24"/>
        </w:rPr>
        <w:t xml:space="preserve"> (if ever). We have access to these data for three school cohorts:</w:t>
      </w:r>
    </w:p>
    <w:p w14:paraId="77D5AACA" w14:textId="12948CCF" w:rsidR="00962573" w:rsidRPr="0081090C" w:rsidRDefault="00962573" w:rsidP="00962573">
      <w:pPr>
        <w:pStyle w:val="ListParagraph"/>
        <w:numPr>
          <w:ilvl w:val="0"/>
          <w:numId w:val="3"/>
        </w:numPr>
        <w:spacing w:after="240" w:line="360" w:lineRule="auto"/>
        <w:jc w:val="both"/>
        <w:rPr>
          <w:rFonts w:ascii="Times New Roman" w:hAnsi="Times New Roman" w:cs="Times New Roman"/>
          <w:sz w:val="24"/>
          <w:szCs w:val="24"/>
        </w:rPr>
      </w:pPr>
      <w:r w:rsidRPr="0081090C">
        <w:rPr>
          <w:rFonts w:ascii="Times New Roman" w:hAnsi="Times New Roman" w:cs="Times New Roman"/>
          <w:sz w:val="24"/>
          <w:szCs w:val="24"/>
        </w:rPr>
        <w:t xml:space="preserve">Cohort A. All children born September 1990-August 1991. These individuals were in Year 6 in 2001/2002 and completed compulsory schooling (Year 11) in 2006/2007. </w:t>
      </w:r>
      <w:r w:rsidR="00EA16E7">
        <w:rPr>
          <w:rFonts w:ascii="Times New Roman" w:hAnsi="Times New Roman" w:cs="Times New Roman"/>
          <w:sz w:val="24"/>
          <w:szCs w:val="24"/>
        </w:rPr>
        <w:t>Caution and sentencing</w:t>
      </w:r>
      <w:r w:rsidRPr="0081090C">
        <w:rPr>
          <w:rFonts w:ascii="Times New Roman" w:hAnsi="Times New Roman" w:cs="Times New Roman"/>
          <w:sz w:val="24"/>
          <w:szCs w:val="24"/>
        </w:rPr>
        <w:t xml:space="preserve"> data </w:t>
      </w:r>
      <w:r w:rsidR="00EA16E7" w:rsidRPr="0081090C">
        <w:rPr>
          <w:rFonts w:ascii="Times New Roman" w:hAnsi="Times New Roman" w:cs="Times New Roman"/>
          <w:sz w:val="24"/>
          <w:szCs w:val="24"/>
        </w:rPr>
        <w:t>are</w:t>
      </w:r>
      <w:r w:rsidRPr="0081090C">
        <w:rPr>
          <w:rFonts w:ascii="Times New Roman" w:hAnsi="Times New Roman" w:cs="Times New Roman"/>
          <w:sz w:val="24"/>
          <w:szCs w:val="24"/>
        </w:rPr>
        <w:t xml:space="preserve"> available for this cohort between ages 10 and </w:t>
      </w:r>
      <w:r w:rsidR="00F8447D">
        <w:rPr>
          <w:rFonts w:ascii="Times New Roman" w:hAnsi="Times New Roman" w:cs="Times New Roman"/>
          <w:sz w:val="24"/>
          <w:szCs w:val="24"/>
        </w:rPr>
        <w:t>30</w:t>
      </w:r>
      <w:r w:rsidRPr="0081090C">
        <w:rPr>
          <w:rFonts w:ascii="Times New Roman" w:hAnsi="Times New Roman" w:cs="Times New Roman"/>
          <w:sz w:val="24"/>
          <w:szCs w:val="24"/>
        </w:rPr>
        <w:t>.</w:t>
      </w:r>
    </w:p>
    <w:p w14:paraId="5B060317" w14:textId="3755E93B" w:rsidR="00962573" w:rsidRPr="0081090C" w:rsidRDefault="00962573" w:rsidP="00962573">
      <w:pPr>
        <w:pStyle w:val="ListParagraph"/>
        <w:numPr>
          <w:ilvl w:val="0"/>
          <w:numId w:val="3"/>
        </w:numPr>
        <w:spacing w:after="240" w:line="360" w:lineRule="auto"/>
        <w:jc w:val="both"/>
        <w:rPr>
          <w:rFonts w:ascii="Times New Roman" w:hAnsi="Times New Roman" w:cs="Times New Roman"/>
          <w:sz w:val="24"/>
          <w:szCs w:val="24"/>
        </w:rPr>
      </w:pPr>
      <w:r w:rsidRPr="0081090C">
        <w:rPr>
          <w:rFonts w:ascii="Times New Roman" w:hAnsi="Times New Roman" w:cs="Times New Roman"/>
          <w:sz w:val="24"/>
          <w:szCs w:val="24"/>
        </w:rPr>
        <w:t xml:space="preserve">Cohort B. All children born September 1994-August 1995. These individuals were in Year 6 in 2005/2006 and completed compulsory schooling (Year 11) in 2010/2011. </w:t>
      </w:r>
      <w:r w:rsidR="00EA16E7">
        <w:rPr>
          <w:rFonts w:ascii="Times New Roman" w:hAnsi="Times New Roman" w:cs="Times New Roman"/>
          <w:sz w:val="24"/>
          <w:szCs w:val="24"/>
        </w:rPr>
        <w:t>Caution and sentencing</w:t>
      </w:r>
      <w:r w:rsidRPr="0081090C">
        <w:rPr>
          <w:rFonts w:ascii="Times New Roman" w:hAnsi="Times New Roman" w:cs="Times New Roman"/>
          <w:sz w:val="24"/>
          <w:szCs w:val="24"/>
        </w:rPr>
        <w:t xml:space="preserve"> data </w:t>
      </w:r>
      <w:r w:rsidR="00EA16E7" w:rsidRPr="0081090C">
        <w:rPr>
          <w:rFonts w:ascii="Times New Roman" w:hAnsi="Times New Roman" w:cs="Times New Roman"/>
          <w:sz w:val="24"/>
          <w:szCs w:val="24"/>
        </w:rPr>
        <w:t>are</w:t>
      </w:r>
      <w:r w:rsidRPr="0081090C">
        <w:rPr>
          <w:rFonts w:ascii="Times New Roman" w:hAnsi="Times New Roman" w:cs="Times New Roman"/>
          <w:sz w:val="24"/>
          <w:szCs w:val="24"/>
        </w:rPr>
        <w:t xml:space="preserve"> available for this cohort between ages 10 and </w:t>
      </w:r>
      <w:r w:rsidR="00F8447D">
        <w:rPr>
          <w:rFonts w:ascii="Times New Roman" w:hAnsi="Times New Roman" w:cs="Times New Roman"/>
          <w:sz w:val="24"/>
          <w:szCs w:val="24"/>
        </w:rPr>
        <w:t>26</w:t>
      </w:r>
      <w:r w:rsidRPr="0081090C">
        <w:rPr>
          <w:rFonts w:ascii="Times New Roman" w:hAnsi="Times New Roman" w:cs="Times New Roman"/>
          <w:sz w:val="24"/>
          <w:szCs w:val="24"/>
        </w:rPr>
        <w:t>.</w:t>
      </w:r>
    </w:p>
    <w:p w14:paraId="5DEB46F3" w14:textId="6E7CF10E" w:rsidR="00962573" w:rsidRPr="0081090C" w:rsidRDefault="00962573" w:rsidP="00962573">
      <w:pPr>
        <w:pStyle w:val="ListParagraph"/>
        <w:numPr>
          <w:ilvl w:val="0"/>
          <w:numId w:val="3"/>
        </w:numPr>
        <w:spacing w:after="240" w:line="360" w:lineRule="auto"/>
        <w:jc w:val="both"/>
        <w:rPr>
          <w:rFonts w:ascii="Times New Roman" w:hAnsi="Times New Roman" w:cs="Times New Roman"/>
          <w:sz w:val="24"/>
          <w:szCs w:val="24"/>
        </w:rPr>
      </w:pPr>
      <w:r w:rsidRPr="0081090C">
        <w:rPr>
          <w:rFonts w:ascii="Times New Roman" w:hAnsi="Times New Roman" w:cs="Times New Roman"/>
          <w:sz w:val="24"/>
          <w:szCs w:val="24"/>
        </w:rPr>
        <w:t xml:space="preserve">Cohort C. All children born September 2000-August 2001. These individuals were in Year 6 in 2011/2012 and completed compulsory schooling (Year 11) in 2016/2017. </w:t>
      </w:r>
      <w:r w:rsidR="00EA16E7">
        <w:rPr>
          <w:rFonts w:ascii="Times New Roman" w:hAnsi="Times New Roman" w:cs="Times New Roman"/>
          <w:sz w:val="24"/>
          <w:szCs w:val="24"/>
        </w:rPr>
        <w:t>Caution and sentencing</w:t>
      </w:r>
      <w:r w:rsidR="00EA16E7" w:rsidRPr="0081090C">
        <w:rPr>
          <w:rFonts w:ascii="Times New Roman" w:hAnsi="Times New Roman" w:cs="Times New Roman"/>
          <w:sz w:val="24"/>
          <w:szCs w:val="24"/>
        </w:rPr>
        <w:t xml:space="preserve"> data are available </w:t>
      </w:r>
      <w:r w:rsidRPr="0081090C">
        <w:rPr>
          <w:rFonts w:ascii="Times New Roman" w:hAnsi="Times New Roman" w:cs="Times New Roman"/>
          <w:sz w:val="24"/>
          <w:szCs w:val="24"/>
        </w:rPr>
        <w:t xml:space="preserve">for this cohort between ages 10 and </w:t>
      </w:r>
      <w:r w:rsidR="00F8447D">
        <w:rPr>
          <w:rFonts w:ascii="Times New Roman" w:hAnsi="Times New Roman" w:cs="Times New Roman"/>
          <w:sz w:val="24"/>
          <w:szCs w:val="24"/>
        </w:rPr>
        <w:t>20</w:t>
      </w:r>
      <w:r w:rsidRPr="0081090C">
        <w:rPr>
          <w:rFonts w:ascii="Times New Roman" w:hAnsi="Times New Roman" w:cs="Times New Roman"/>
          <w:sz w:val="24"/>
          <w:szCs w:val="24"/>
        </w:rPr>
        <w:t>.</w:t>
      </w:r>
    </w:p>
    <w:p w14:paraId="6D2C4D61" w14:textId="646EB363" w:rsidR="008A4879" w:rsidRPr="0081090C" w:rsidRDefault="008A5C74" w:rsidP="008A5C74">
      <w:pPr>
        <w:spacing w:line="360" w:lineRule="auto"/>
        <w:jc w:val="both"/>
        <w:rPr>
          <w:rStyle w:val="Hyperlink"/>
          <w:rFonts w:ascii="Times New Roman" w:hAnsi="Times New Roman" w:cs="Times New Roman"/>
          <w:color w:val="auto"/>
          <w:sz w:val="24"/>
          <w:szCs w:val="24"/>
          <w:u w:val="none"/>
        </w:rPr>
      </w:pPr>
      <w:r w:rsidRPr="0081090C">
        <w:rPr>
          <w:rFonts w:ascii="Times New Roman" w:hAnsi="Times New Roman" w:cs="Times New Roman"/>
          <w:sz w:val="24"/>
          <w:szCs w:val="24"/>
        </w:rPr>
        <w:t>The data include details on young people’s performance in national examinations, demographic characteristics (e.g. gender, ethnicity), measures of socio-economic background (e.g. eligibility for Free School Meals) and termly information on absences and exclusions from school.</w:t>
      </w:r>
    </w:p>
    <w:p w14:paraId="64E56167" w14:textId="3D9DDBF5" w:rsidR="00717DF5" w:rsidRPr="0081090C" w:rsidRDefault="00717DF5" w:rsidP="00717DF5">
      <w:pPr>
        <w:rPr>
          <w:rStyle w:val="Hyperlink"/>
          <w:rFonts w:ascii="Times New Roman" w:hAnsi="Times New Roman" w:cs="Times New Roman"/>
          <w:color w:val="000000" w:themeColor="text1"/>
          <w:sz w:val="24"/>
          <w:szCs w:val="24"/>
        </w:rPr>
      </w:pPr>
      <w:r w:rsidRPr="0081090C">
        <w:rPr>
          <w:rStyle w:val="Hyperlink"/>
          <w:rFonts w:ascii="Times New Roman" w:hAnsi="Times New Roman" w:cs="Times New Roman"/>
          <w:color w:val="000000" w:themeColor="text1"/>
          <w:sz w:val="24"/>
          <w:szCs w:val="24"/>
        </w:rPr>
        <w:t>Measurement of socio-economic background</w:t>
      </w:r>
    </w:p>
    <w:p w14:paraId="5D089936" w14:textId="199F78FB" w:rsidR="00717DF5" w:rsidRPr="0081090C" w:rsidRDefault="004318CD" w:rsidP="004318CD">
      <w:pPr>
        <w:spacing w:line="36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We measure young people’s socio-economic background by combining information across the following two indicators</w:t>
      </w:r>
      <w:r w:rsidR="00183C07" w:rsidRPr="0081090C">
        <w:rPr>
          <w:rStyle w:val="Hyperlink"/>
          <w:rFonts w:ascii="Times New Roman" w:hAnsi="Times New Roman" w:cs="Times New Roman"/>
          <w:color w:val="000000" w:themeColor="text1"/>
          <w:sz w:val="24"/>
          <w:szCs w:val="24"/>
          <w:u w:val="none"/>
        </w:rPr>
        <w:t>:</w:t>
      </w:r>
    </w:p>
    <w:p w14:paraId="63A21C5A" w14:textId="2E5CA2EA" w:rsidR="00183C07" w:rsidRPr="0081090C" w:rsidRDefault="00183C07" w:rsidP="00A2390D">
      <w:pPr>
        <w:pStyle w:val="ListParagraph"/>
        <w:numPr>
          <w:ilvl w:val="0"/>
          <w:numId w:val="3"/>
        </w:numPr>
        <w:spacing w:line="360" w:lineRule="auto"/>
        <w:jc w:val="both"/>
        <w:rPr>
          <w:rFonts w:ascii="Times New Roman" w:hAnsi="Times New Roman" w:cs="Times New Roman"/>
          <w:sz w:val="24"/>
          <w:szCs w:val="24"/>
        </w:rPr>
      </w:pPr>
      <w:r w:rsidRPr="0081090C">
        <w:rPr>
          <w:rFonts w:ascii="Times New Roman" w:hAnsi="Times New Roman" w:cs="Times New Roman"/>
          <w:sz w:val="24"/>
          <w:szCs w:val="24"/>
        </w:rPr>
        <w:t>A set of dummy variables capturing whether the child was eligible for Free School Meals (FSM) for each year they were at school.</w:t>
      </w:r>
    </w:p>
    <w:p w14:paraId="3C09C1DF" w14:textId="3C0676E7" w:rsidR="00183C07" w:rsidRPr="0081090C" w:rsidRDefault="00183C07" w:rsidP="00A2390D">
      <w:pPr>
        <w:pStyle w:val="ListParagraph"/>
        <w:numPr>
          <w:ilvl w:val="0"/>
          <w:numId w:val="3"/>
        </w:numPr>
        <w:spacing w:line="360" w:lineRule="auto"/>
        <w:jc w:val="both"/>
        <w:rPr>
          <w:rStyle w:val="Hyperlink"/>
          <w:rFonts w:ascii="Times New Roman" w:hAnsi="Times New Roman" w:cs="Times New Roman"/>
          <w:color w:val="auto"/>
          <w:sz w:val="24"/>
          <w:szCs w:val="24"/>
          <w:u w:val="none"/>
        </w:rPr>
      </w:pPr>
      <w:r w:rsidRPr="0081090C">
        <w:rPr>
          <w:rFonts w:ascii="Times New Roman" w:hAnsi="Times New Roman" w:cs="Times New Roman"/>
          <w:sz w:val="24"/>
          <w:szCs w:val="24"/>
        </w:rPr>
        <w:lastRenderedPageBreak/>
        <w:t xml:space="preserve">Income Deprivation Affecting Children Index (IDACI) decile. This is a measure of the proportion of families within the child’s local area that have low levels of income. </w:t>
      </w:r>
    </w:p>
    <w:p w14:paraId="70A14AFB" w14:textId="6F1639E4" w:rsidR="00183C07" w:rsidRPr="0081090C" w:rsidRDefault="00A2390D" w:rsidP="00A2390D">
      <w:pPr>
        <w:spacing w:line="360" w:lineRule="auto"/>
        <w:jc w:val="both"/>
        <w:rPr>
          <w:rStyle w:val="Hyperlink"/>
          <w:rFonts w:ascii="Times New Roman" w:hAnsi="Times New Roman" w:cs="Times New Roman"/>
          <w:color w:val="auto"/>
          <w:sz w:val="24"/>
          <w:szCs w:val="24"/>
          <w:u w:val="none"/>
        </w:rPr>
      </w:pPr>
      <w:r w:rsidRPr="0081090C">
        <w:rPr>
          <w:rStyle w:val="Hyperlink"/>
          <w:rFonts w:ascii="Times New Roman" w:hAnsi="Times New Roman" w:cs="Times New Roman"/>
          <w:color w:val="000000" w:themeColor="text1"/>
          <w:sz w:val="24"/>
          <w:szCs w:val="24"/>
          <w:u w:val="none"/>
        </w:rPr>
        <w:t xml:space="preserve">These indicators are combined into a scale using a </w:t>
      </w:r>
      <w:r w:rsidRPr="0081090C">
        <w:rPr>
          <w:rFonts w:ascii="Times New Roman" w:hAnsi="Times New Roman" w:cs="Times New Roman"/>
          <w:sz w:val="24"/>
          <w:szCs w:val="24"/>
        </w:rPr>
        <w:t xml:space="preserve">one-parameter Item Response Model. For each child, we produce Expected A Posteriori (EAP) estimates from this model, reflecting their position on this latent socio-economic background scale. Those young people within the bottom quartile of this scale within their cohort are used to define our “socio-economically disadvantaged” group. In contrast, young people in the top quartile form our “socio-economically advantaged” group. </w:t>
      </w:r>
    </w:p>
    <w:p w14:paraId="6631967B" w14:textId="0C64CF11" w:rsidR="00717DF5" w:rsidRPr="0081090C" w:rsidRDefault="00717DF5" w:rsidP="00717DF5">
      <w:pPr>
        <w:rPr>
          <w:rStyle w:val="Hyperlink"/>
          <w:rFonts w:ascii="Times New Roman" w:hAnsi="Times New Roman" w:cs="Times New Roman"/>
          <w:color w:val="000000" w:themeColor="text1"/>
          <w:sz w:val="24"/>
          <w:szCs w:val="24"/>
        </w:rPr>
      </w:pPr>
      <w:r w:rsidRPr="0081090C">
        <w:rPr>
          <w:rStyle w:val="Hyperlink"/>
          <w:rFonts w:ascii="Times New Roman" w:hAnsi="Times New Roman" w:cs="Times New Roman"/>
          <w:color w:val="000000" w:themeColor="text1"/>
          <w:sz w:val="24"/>
          <w:szCs w:val="24"/>
        </w:rPr>
        <w:t>Measurement of achievement</w:t>
      </w:r>
    </w:p>
    <w:p w14:paraId="049C7FEA" w14:textId="65B18FFA" w:rsidR="0006260B" w:rsidRPr="0081090C" w:rsidRDefault="0006260B" w:rsidP="00C4585F">
      <w:pPr>
        <w:spacing w:line="360" w:lineRule="auto"/>
        <w:jc w:val="both"/>
        <w:rPr>
          <w:rStyle w:val="Hyperlink"/>
          <w:rFonts w:ascii="Times New Roman" w:hAnsi="Times New Roman" w:cs="Times New Roman"/>
          <w:color w:val="000000" w:themeColor="text1"/>
          <w:sz w:val="24"/>
          <w:szCs w:val="24"/>
          <w:u w:val="none"/>
        </w:rPr>
      </w:pPr>
      <w:r w:rsidRPr="0081090C">
        <w:rPr>
          <w:rStyle w:val="Hyperlink"/>
          <w:rFonts w:ascii="Times New Roman" w:hAnsi="Times New Roman" w:cs="Times New Roman"/>
          <w:color w:val="000000" w:themeColor="text1"/>
          <w:sz w:val="24"/>
          <w:szCs w:val="24"/>
          <w:u w:val="none"/>
        </w:rPr>
        <w:t>In England, state school children sit national examinations (Key Stage 2 tests) at ages 10/11, coinciding with then they are finishing primary school. These are relatively long tests, totalling over three hours of test time, and are externally marked. We use children’s scores in the reading and mathematics tests to define high levels of early achievement. Within each cohort, scores on these tests are first standardised to mean zero and standard deviation one, with the average then taken. Those with scores in the top quartile of the distribution within their cohort are then defined as “high early achievers”. Given that</w:t>
      </w:r>
      <w:r w:rsidR="00DE6EFA">
        <w:rPr>
          <w:rStyle w:val="Hyperlink"/>
          <w:rFonts w:ascii="Times New Roman" w:hAnsi="Times New Roman" w:cs="Times New Roman"/>
          <w:color w:val="000000" w:themeColor="text1"/>
          <w:sz w:val="24"/>
          <w:szCs w:val="24"/>
          <w:u w:val="none"/>
        </w:rPr>
        <w:t xml:space="preserve"> </w:t>
      </w:r>
      <w:r w:rsidRPr="0081090C">
        <w:rPr>
          <w:rStyle w:val="Hyperlink"/>
          <w:rFonts w:ascii="Times New Roman" w:hAnsi="Times New Roman" w:cs="Times New Roman"/>
          <w:color w:val="000000" w:themeColor="text1"/>
          <w:sz w:val="24"/>
          <w:szCs w:val="24"/>
          <w:u w:val="none"/>
        </w:rPr>
        <w:t xml:space="preserve">exclusions from school and </w:t>
      </w:r>
      <w:r w:rsidR="00E22852">
        <w:rPr>
          <w:rStyle w:val="Hyperlink"/>
          <w:rFonts w:ascii="Times New Roman" w:hAnsi="Times New Roman" w:cs="Times New Roman"/>
          <w:color w:val="000000" w:themeColor="text1"/>
          <w:sz w:val="24"/>
          <w:szCs w:val="24"/>
          <w:u w:val="none"/>
        </w:rPr>
        <w:t>criminal cautions/sentences</w:t>
      </w:r>
      <w:r w:rsidR="00DE6EFA">
        <w:rPr>
          <w:rStyle w:val="Hyperlink"/>
          <w:rFonts w:ascii="Times New Roman" w:hAnsi="Times New Roman" w:cs="Times New Roman"/>
          <w:color w:val="000000" w:themeColor="text1"/>
          <w:sz w:val="24"/>
          <w:szCs w:val="24"/>
          <w:u w:val="none"/>
        </w:rPr>
        <w:t xml:space="preserve"> are a major focus of this paper</w:t>
      </w:r>
      <w:r w:rsidRPr="0081090C">
        <w:rPr>
          <w:rStyle w:val="Hyperlink"/>
          <w:rFonts w:ascii="Times New Roman" w:hAnsi="Times New Roman" w:cs="Times New Roman"/>
          <w:color w:val="000000" w:themeColor="text1"/>
          <w:sz w:val="24"/>
          <w:szCs w:val="24"/>
          <w:u w:val="none"/>
        </w:rPr>
        <w:t xml:space="preserve"> – instances of which do not start to rise until secondary school – our use of these tests balances the need</w:t>
      </w:r>
      <w:r w:rsidR="00C4585F" w:rsidRPr="0081090C">
        <w:rPr>
          <w:rStyle w:val="Hyperlink"/>
          <w:rFonts w:ascii="Times New Roman" w:hAnsi="Times New Roman" w:cs="Times New Roman"/>
          <w:color w:val="000000" w:themeColor="text1"/>
          <w:sz w:val="24"/>
          <w:szCs w:val="24"/>
          <w:u w:val="none"/>
        </w:rPr>
        <w:t xml:space="preserve"> to define high-achievement using high quality tests, while still capturing children’s academic abilities at a sufficiently early age. The first stages of secondary school have also been highlighted in prior research as a pivotal period for high-achieving disadvantaged children (Crawford et al., 2017; Jerrim &amp; Carvajal, 2024)</w:t>
      </w:r>
      <w:r w:rsidR="00DE6EFA">
        <w:rPr>
          <w:rStyle w:val="Hyperlink"/>
          <w:rFonts w:ascii="Times New Roman" w:hAnsi="Times New Roman" w:cs="Times New Roman"/>
          <w:color w:val="000000" w:themeColor="text1"/>
          <w:sz w:val="24"/>
          <w:szCs w:val="24"/>
          <w:u w:val="none"/>
        </w:rPr>
        <w:t>; a time</w:t>
      </w:r>
      <w:r w:rsidR="00C4585F" w:rsidRPr="0081090C">
        <w:rPr>
          <w:rStyle w:val="Hyperlink"/>
          <w:rFonts w:ascii="Times New Roman" w:hAnsi="Times New Roman" w:cs="Times New Roman"/>
          <w:color w:val="000000" w:themeColor="text1"/>
          <w:sz w:val="24"/>
          <w:szCs w:val="24"/>
          <w:u w:val="none"/>
        </w:rPr>
        <w:t xml:space="preserve"> when they start to disengage in school, participate in troublesome behaviour and their academic progress starts to tail off.</w:t>
      </w:r>
    </w:p>
    <w:p w14:paraId="1A3DB01B" w14:textId="08F0DCD5" w:rsidR="00717DF5" w:rsidRPr="0081090C" w:rsidRDefault="00717DF5" w:rsidP="00717DF5">
      <w:pPr>
        <w:rPr>
          <w:rStyle w:val="Hyperlink"/>
          <w:rFonts w:ascii="Times New Roman" w:hAnsi="Times New Roman" w:cs="Times New Roman"/>
          <w:color w:val="000000" w:themeColor="text1"/>
          <w:sz w:val="24"/>
          <w:szCs w:val="24"/>
        </w:rPr>
      </w:pPr>
      <w:r w:rsidRPr="0081090C">
        <w:rPr>
          <w:rStyle w:val="Hyperlink"/>
          <w:rFonts w:ascii="Times New Roman" w:hAnsi="Times New Roman" w:cs="Times New Roman"/>
          <w:color w:val="000000" w:themeColor="text1"/>
          <w:sz w:val="24"/>
          <w:szCs w:val="24"/>
        </w:rPr>
        <w:t>Definition of high-achieving young people from different socio-economic backgrounds</w:t>
      </w:r>
    </w:p>
    <w:p w14:paraId="69350F91" w14:textId="677BB638" w:rsidR="00C4585F" w:rsidRPr="0081090C" w:rsidRDefault="00FC03E0" w:rsidP="00FC03E0">
      <w:pPr>
        <w:spacing w:line="360" w:lineRule="auto"/>
        <w:jc w:val="both"/>
        <w:rPr>
          <w:rStyle w:val="Hyperlink"/>
          <w:rFonts w:ascii="Times New Roman" w:hAnsi="Times New Roman" w:cs="Times New Roman"/>
          <w:color w:val="000000" w:themeColor="text1"/>
          <w:sz w:val="24"/>
          <w:szCs w:val="24"/>
          <w:u w:val="none"/>
        </w:rPr>
      </w:pPr>
      <w:r w:rsidRPr="0081090C">
        <w:rPr>
          <w:rStyle w:val="Hyperlink"/>
          <w:rFonts w:ascii="Times New Roman" w:hAnsi="Times New Roman" w:cs="Times New Roman"/>
          <w:color w:val="000000" w:themeColor="text1"/>
          <w:sz w:val="24"/>
          <w:szCs w:val="24"/>
          <w:u w:val="none"/>
        </w:rPr>
        <w:t xml:space="preserve">Our operationalisation of high initial achievers from disadvantaged socio-economic backgrounds combines information from the two measures described above. Specifically, it is formed of children from the bottom 25% of the socio-economic distribution who are within the top 25% of the Key Stage 2 test distribution within each school cohort. Within our analysis, we will compare the outcomes of this group to equally high-achieving young people from the most advantaged socio-economic backgrounds. This comparison group is defined as young people </w:t>
      </w:r>
      <w:r w:rsidRPr="0081090C">
        <w:rPr>
          <w:rStyle w:val="Hyperlink"/>
          <w:rFonts w:ascii="Times New Roman" w:hAnsi="Times New Roman" w:cs="Times New Roman"/>
          <w:color w:val="000000" w:themeColor="text1"/>
          <w:sz w:val="24"/>
          <w:szCs w:val="24"/>
          <w:u w:val="none"/>
        </w:rPr>
        <w:lastRenderedPageBreak/>
        <w:t>in the top 25% of the socio-economic distribution who also ha</w:t>
      </w:r>
      <w:r w:rsidR="009C2F29">
        <w:rPr>
          <w:rStyle w:val="Hyperlink"/>
          <w:rFonts w:ascii="Times New Roman" w:hAnsi="Times New Roman" w:cs="Times New Roman"/>
          <w:color w:val="000000" w:themeColor="text1"/>
          <w:sz w:val="24"/>
          <w:szCs w:val="24"/>
          <w:u w:val="none"/>
        </w:rPr>
        <w:t>d</w:t>
      </w:r>
      <w:r w:rsidRPr="0081090C">
        <w:rPr>
          <w:rStyle w:val="Hyperlink"/>
          <w:rFonts w:ascii="Times New Roman" w:hAnsi="Times New Roman" w:cs="Times New Roman"/>
          <w:color w:val="000000" w:themeColor="text1"/>
          <w:sz w:val="24"/>
          <w:szCs w:val="24"/>
          <w:u w:val="none"/>
        </w:rPr>
        <w:t xml:space="preserve"> Key Stage 2 test scores in the top 25% of the national distribution, within their respective cohort</w:t>
      </w:r>
      <w:r w:rsidR="009C2F29">
        <w:rPr>
          <w:rStyle w:val="FootnoteReference"/>
          <w:rFonts w:ascii="Times New Roman" w:hAnsi="Times New Roman" w:cs="Times New Roman"/>
          <w:color w:val="000000" w:themeColor="text1"/>
          <w:sz w:val="24"/>
          <w:szCs w:val="24"/>
        </w:rPr>
        <w:footnoteReference w:id="3"/>
      </w:r>
      <w:r w:rsidRPr="0081090C">
        <w:rPr>
          <w:rStyle w:val="Hyperlink"/>
          <w:rFonts w:ascii="Times New Roman" w:hAnsi="Times New Roman" w:cs="Times New Roman"/>
          <w:color w:val="000000" w:themeColor="text1"/>
          <w:sz w:val="24"/>
          <w:szCs w:val="24"/>
          <w:u w:val="none"/>
        </w:rPr>
        <w:t>.</w:t>
      </w:r>
    </w:p>
    <w:p w14:paraId="659DE989" w14:textId="29F61B45" w:rsidR="00717DF5" w:rsidRPr="0081090C" w:rsidRDefault="00717DF5" w:rsidP="00717DF5">
      <w:pPr>
        <w:rPr>
          <w:rStyle w:val="Hyperlink"/>
          <w:rFonts w:ascii="Times New Roman" w:hAnsi="Times New Roman" w:cs="Times New Roman"/>
          <w:color w:val="000000" w:themeColor="text1"/>
          <w:sz w:val="24"/>
          <w:szCs w:val="24"/>
        </w:rPr>
      </w:pPr>
      <w:r w:rsidRPr="0081090C">
        <w:rPr>
          <w:rStyle w:val="Hyperlink"/>
          <w:rFonts w:ascii="Times New Roman" w:hAnsi="Times New Roman" w:cs="Times New Roman"/>
          <w:color w:val="000000" w:themeColor="text1"/>
          <w:sz w:val="24"/>
          <w:szCs w:val="24"/>
        </w:rPr>
        <w:t>School absences</w:t>
      </w:r>
    </w:p>
    <w:p w14:paraId="3AC0CA98" w14:textId="4C998C68" w:rsidR="003C0A65" w:rsidRPr="0081090C" w:rsidRDefault="003C0A65" w:rsidP="00FE00D4">
      <w:pPr>
        <w:spacing w:line="360" w:lineRule="auto"/>
        <w:jc w:val="both"/>
        <w:rPr>
          <w:rStyle w:val="Hyperlink"/>
          <w:rFonts w:ascii="Times New Roman" w:hAnsi="Times New Roman" w:cs="Times New Roman"/>
          <w:color w:val="000000" w:themeColor="text1"/>
          <w:sz w:val="24"/>
          <w:szCs w:val="24"/>
          <w:u w:val="none"/>
        </w:rPr>
      </w:pPr>
      <w:r w:rsidRPr="0081090C">
        <w:rPr>
          <w:rStyle w:val="Hyperlink"/>
          <w:rFonts w:ascii="Times New Roman" w:hAnsi="Times New Roman" w:cs="Times New Roman"/>
          <w:color w:val="000000" w:themeColor="text1"/>
          <w:sz w:val="24"/>
          <w:szCs w:val="24"/>
          <w:u w:val="none"/>
        </w:rPr>
        <w:t>The dataset includes detailed information on school absences. For each half-term</w:t>
      </w:r>
      <w:r w:rsidR="00FE00D4" w:rsidRPr="0081090C">
        <w:rPr>
          <w:rStyle w:val="FootnoteReference"/>
          <w:rFonts w:ascii="Times New Roman" w:hAnsi="Times New Roman" w:cs="Times New Roman"/>
          <w:color w:val="000000" w:themeColor="text1"/>
          <w:sz w:val="24"/>
          <w:szCs w:val="24"/>
        </w:rPr>
        <w:footnoteReference w:id="4"/>
      </w:r>
      <w:r w:rsidRPr="0081090C">
        <w:rPr>
          <w:rStyle w:val="Hyperlink"/>
          <w:rFonts w:ascii="Times New Roman" w:hAnsi="Times New Roman" w:cs="Times New Roman"/>
          <w:color w:val="000000" w:themeColor="text1"/>
          <w:sz w:val="24"/>
          <w:szCs w:val="24"/>
          <w:u w:val="none"/>
        </w:rPr>
        <w:t xml:space="preserve">, </w:t>
      </w:r>
      <w:r w:rsidR="00FE00D4" w:rsidRPr="0081090C">
        <w:rPr>
          <w:rStyle w:val="Hyperlink"/>
          <w:rFonts w:ascii="Times New Roman" w:hAnsi="Times New Roman" w:cs="Times New Roman"/>
          <w:color w:val="000000" w:themeColor="text1"/>
          <w:sz w:val="24"/>
          <w:szCs w:val="24"/>
          <w:u w:val="none"/>
        </w:rPr>
        <w:t>the data records the percent of “sessions” (half-days) that each pupil missed. This information encompasses Year</w:t>
      </w:r>
      <w:r w:rsidR="00DE6EFA">
        <w:rPr>
          <w:rStyle w:val="Hyperlink"/>
          <w:rFonts w:ascii="Times New Roman" w:hAnsi="Times New Roman" w:cs="Times New Roman"/>
          <w:color w:val="000000" w:themeColor="text1"/>
          <w:sz w:val="24"/>
          <w:szCs w:val="24"/>
          <w:u w:val="none"/>
        </w:rPr>
        <w:t>s</w:t>
      </w:r>
      <w:r w:rsidR="00FE00D4" w:rsidRPr="0081090C">
        <w:rPr>
          <w:rStyle w:val="Hyperlink"/>
          <w:rFonts w:ascii="Times New Roman" w:hAnsi="Times New Roman" w:cs="Times New Roman"/>
          <w:color w:val="000000" w:themeColor="text1"/>
          <w:sz w:val="24"/>
          <w:szCs w:val="24"/>
          <w:u w:val="none"/>
        </w:rPr>
        <w:t xml:space="preserve"> 10</w:t>
      </w:r>
      <w:r w:rsidR="00DE6EFA">
        <w:rPr>
          <w:rStyle w:val="Hyperlink"/>
          <w:rFonts w:ascii="Times New Roman" w:hAnsi="Times New Roman" w:cs="Times New Roman"/>
          <w:color w:val="000000" w:themeColor="text1"/>
          <w:sz w:val="24"/>
          <w:szCs w:val="24"/>
          <w:u w:val="none"/>
        </w:rPr>
        <w:t>-to-</w:t>
      </w:r>
      <w:r w:rsidR="00FE00D4" w:rsidRPr="0081090C">
        <w:rPr>
          <w:rStyle w:val="Hyperlink"/>
          <w:rFonts w:ascii="Times New Roman" w:hAnsi="Times New Roman" w:cs="Times New Roman"/>
          <w:color w:val="000000" w:themeColor="text1"/>
          <w:sz w:val="24"/>
          <w:szCs w:val="24"/>
          <w:u w:val="none"/>
        </w:rPr>
        <w:t>11 (age 14-16) for Cohort A, Years 6</w:t>
      </w:r>
      <w:r w:rsidR="00DE6EFA">
        <w:rPr>
          <w:rStyle w:val="Hyperlink"/>
          <w:rFonts w:ascii="Times New Roman" w:hAnsi="Times New Roman" w:cs="Times New Roman"/>
          <w:color w:val="000000" w:themeColor="text1"/>
          <w:sz w:val="24"/>
          <w:szCs w:val="24"/>
          <w:u w:val="none"/>
        </w:rPr>
        <w:t>-to</w:t>
      </w:r>
      <w:r w:rsidR="00FE00D4" w:rsidRPr="0081090C">
        <w:rPr>
          <w:rStyle w:val="Hyperlink"/>
          <w:rFonts w:ascii="Times New Roman" w:hAnsi="Times New Roman" w:cs="Times New Roman"/>
          <w:color w:val="000000" w:themeColor="text1"/>
          <w:sz w:val="24"/>
          <w:szCs w:val="24"/>
          <w:u w:val="none"/>
        </w:rPr>
        <w:t>-11 (age 10-16) for Cohort B and Year</w:t>
      </w:r>
      <w:r w:rsidR="00DE6EFA">
        <w:rPr>
          <w:rStyle w:val="Hyperlink"/>
          <w:rFonts w:ascii="Times New Roman" w:hAnsi="Times New Roman" w:cs="Times New Roman"/>
          <w:color w:val="000000" w:themeColor="text1"/>
          <w:sz w:val="24"/>
          <w:szCs w:val="24"/>
          <w:u w:val="none"/>
        </w:rPr>
        <w:t>s</w:t>
      </w:r>
      <w:r w:rsidR="00FE00D4" w:rsidRPr="0081090C">
        <w:rPr>
          <w:rStyle w:val="Hyperlink"/>
          <w:rFonts w:ascii="Times New Roman" w:hAnsi="Times New Roman" w:cs="Times New Roman"/>
          <w:color w:val="000000" w:themeColor="text1"/>
          <w:sz w:val="24"/>
          <w:szCs w:val="24"/>
          <w:u w:val="none"/>
        </w:rPr>
        <w:t xml:space="preserve"> 1</w:t>
      </w:r>
      <w:r w:rsidR="00DE6EFA">
        <w:rPr>
          <w:rStyle w:val="Hyperlink"/>
          <w:rFonts w:ascii="Times New Roman" w:hAnsi="Times New Roman" w:cs="Times New Roman"/>
          <w:color w:val="000000" w:themeColor="text1"/>
          <w:sz w:val="24"/>
          <w:szCs w:val="24"/>
          <w:u w:val="none"/>
        </w:rPr>
        <w:t>-to</w:t>
      </w:r>
      <w:r w:rsidR="00FE00D4" w:rsidRPr="0081090C">
        <w:rPr>
          <w:rStyle w:val="Hyperlink"/>
          <w:rFonts w:ascii="Times New Roman" w:hAnsi="Times New Roman" w:cs="Times New Roman"/>
          <w:color w:val="000000" w:themeColor="text1"/>
          <w:sz w:val="24"/>
          <w:szCs w:val="24"/>
          <w:u w:val="none"/>
        </w:rPr>
        <w:t>-11 (age 6 – 16) for Cohort C. Within our analysis we consider how absence rates compare across young people with strong Key Stage 2 test scores during their time at school (for Cohort C, this covers almost their entire time in compulsory education).</w:t>
      </w:r>
    </w:p>
    <w:p w14:paraId="10ACA7A7" w14:textId="5E666045" w:rsidR="00717DF5" w:rsidRPr="0081090C" w:rsidRDefault="00717DF5" w:rsidP="00717DF5">
      <w:pPr>
        <w:rPr>
          <w:rStyle w:val="Hyperlink"/>
          <w:rFonts w:ascii="Times New Roman" w:hAnsi="Times New Roman" w:cs="Times New Roman"/>
          <w:color w:val="000000" w:themeColor="text1"/>
          <w:sz w:val="24"/>
          <w:szCs w:val="24"/>
        </w:rPr>
      </w:pPr>
      <w:r w:rsidRPr="0081090C">
        <w:rPr>
          <w:rStyle w:val="Hyperlink"/>
          <w:rFonts w:ascii="Times New Roman" w:hAnsi="Times New Roman" w:cs="Times New Roman"/>
          <w:color w:val="000000" w:themeColor="text1"/>
          <w:sz w:val="24"/>
          <w:szCs w:val="24"/>
        </w:rPr>
        <w:t>School exclusions</w:t>
      </w:r>
    </w:p>
    <w:p w14:paraId="4ADABCD1" w14:textId="79D1154E" w:rsidR="00187DF3" w:rsidRPr="0081090C" w:rsidRDefault="00B70AAD" w:rsidP="00B70AAD">
      <w:pPr>
        <w:spacing w:line="360" w:lineRule="auto"/>
        <w:jc w:val="both"/>
        <w:rPr>
          <w:rStyle w:val="Hyperlink"/>
          <w:rFonts w:ascii="Times New Roman" w:hAnsi="Times New Roman" w:cs="Times New Roman"/>
          <w:color w:val="000000" w:themeColor="text1"/>
          <w:sz w:val="24"/>
          <w:szCs w:val="24"/>
          <w:u w:val="none"/>
        </w:rPr>
      </w:pPr>
      <w:r w:rsidRPr="0081090C">
        <w:rPr>
          <w:rStyle w:val="Hyperlink"/>
          <w:rFonts w:ascii="Times New Roman" w:hAnsi="Times New Roman" w:cs="Times New Roman"/>
          <w:color w:val="000000" w:themeColor="text1"/>
          <w:sz w:val="24"/>
          <w:szCs w:val="24"/>
          <w:u w:val="none"/>
        </w:rPr>
        <w:t xml:space="preserve">Within the NPD-MOJ data, information is provided on exclusions from school. This includes fixed-term exclusions (i.e. suspensions </w:t>
      </w:r>
      <w:r w:rsidR="00187DF3" w:rsidRPr="0081090C">
        <w:rPr>
          <w:rStyle w:val="Hyperlink"/>
          <w:rFonts w:ascii="Times New Roman" w:hAnsi="Times New Roman" w:cs="Times New Roman"/>
          <w:color w:val="000000" w:themeColor="text1"/>
          <w:sz w:val="24"/>
          <w:szCs w:val="24"/>
          <w:u w:val="none"/>
        </w:rPr>
        <w:t xml:space="preserve">– removal from school for a limited </w:t>
      </w:r>
      <w:r w:rsidR="001C6423" w:rsidRPr="0081090C">
        <w:rPr>
          <w:rStyle w:val="Hyperlink"/>
          <w:rFonts w:ascii="Times New Roman" w:hAnsi="Times New Roman" w:cs="Times New Roman"/>
          <w:color w:val="000000" w:themeColor="text1"/>
          <w:sz w:val="24"/>
          <w:szCs w:val="24"/>
          <w:u w:val="none"/>
        </w:rPr>
        <w:t>period</w:t>
      </w:r>
      <w:r w:rsidR="00187DF3" w:rsidRPr="0081090C">
        <w:rPr>
          <w:rStyle w:val="Hyperlink"/>
          <w:rFonts w:ascii="Times New Roman" w:hAnsi="Times New Roman" w:cs="Times New Roman"/>
          <w:color w:val="000000" w:themeColor="text1"/>
          <w:sz w:val="24"/>
          <w:szCs w:val="24"/>
          <w:u w:val="none"/>
        </w:rPr>
        <w:t>) and permanent exclusions (i.e. expulsion – where the pupil does not return to the school). The precise date is provided for both exclusion types.</w:t>
      </w:r>
      <w:r w:rsidR="001C6423">
        <w:rPr>
          <w:rStyle w:val="Hyperlink"/>
          <w:rFonts w:ascii="Times New Roman" w:hAnsi="Times New Roman" w:cs="Times New Roman"/>
          <w:color w:val="000000" w:themeColor="text1"/>
          <w:sz w:val="24"/>
          <w:szCs w:val="24"/>
          <w:u w:val="none"/>
        </w:rPr>
        <w:t xml:space="preserve"> </w:t>
      </w:r>
      <w:r w:rsidR="00E77699" w:rsidRPr="0081090C">
        <w:rPr>
          <w:rStyle w:val="Hyperlink"/>
          <w:rFonts w:ascii="Times New Roman" w:hAnsi="Times New Roman" w:cs="Times New Roman"/>
          <w:color w:val="000000" w:themeColor="text1"/>
          <w:sz w:val="24"/>
          <w:szCs w:val="24"/>
          <w:u w:val="none"/>
        </w:rPr>
        <w:t xml:space="preserve">For fixed-term exclusions, we derive a binary measure for each child for each </w:t>
      </w:r>
      <w:r w:rsidR="001C6423">
        <w:rPr>
          <w:rStyle w:val="Hyperlink"/>
          <w:rFonts w:ascii="Times New Roman" w:hAnsi="Times New Roman" w:cs="Times New Roman"/>
          <w:color w:val="000000" w:themeColor="text1"/>
          <w:sz w:val="24"/>
          <w:szCs w:val="24"/>
          <w:u w:val="none"/>
        </w:rPr>
        <w:t>academic year</w:t>
      </w:r>
      <w:r w:rsidR="00E77699" w:rsidRPr="0081090C">
        <w:rPr>
          <w:rStyle w:val="Hyperlink"/>
          <w:rFonts w:ascii="Times New Roman" w:hAnsi="Times New Roman" w:cs="Times New Roman"/>
          <w:color w:val="000000" w:themeColor="text1"/>
          <w:sz w:val="24"/>
          <w:szCs w:val="24"/>
          <w:u w:val="none"/>
        </w:rPr>
        <w:t xml:space="preserve"> during secondary school. This is coded as one if the child was excluded at any point, and zero otherwise.</w:t>
      </w:r>
      <w:r w:rsidR="001C6423">
        <w:rPr>
          <w:rStyle w:val="Hyperlink"/>
          <w:rFonts w:ascii="Times New Roman" w:hAnsi="Times New Roman" w:cs="Times New Roman"/>
          <w:color w:val="000000" w:themeColor="text1"/>
          <w:sz w:val="24"/>
          <w:szCs w:val="24"/>
          <w:u w:val="none"/>
        </w:rPr>
        <w:t xml:space="preserve"> </w:t>
      </w:r>
      <w:r w:rsidR="001C6423" w:rsidRPr="0081090C">
        <w:rPr>
          <w:rStyle w:val="Hyperlink"/>
          <w:rFonts w:ascii="Times New Roman" w:hAnsi="Times New Roman" w:cs="Times New Roman"/>
          <w:color w:val="000000" w:themeColor="text1"/>
          <w:sz w:val="24"/>
          <w:szCs w:val="24"/>
          <w:u w:val="none"/>
        </w:rPr>
        <w:t>We focus only on exclusions during secondary school, as exclusions from primary school are rare (</w:t>
      </w:r>
      <w:r w:rsidR="001C6423">
        <w:rPr>
          <w:rStyle w:val="Hyperlink"/>
          <w:rFonts w:ascii="Times New Roman" w:hAnsi="Times New Roman" w:cs="Times New Roman"/>
          <w:color w:val="000000" w:themeColor="text1"/>
          <w:sz w:val="24"/>
          <w:szCs w:val="24"/>
          <w:u w:val="none"/>
        </w:rPr>
        <w:t>FFT Datalab, 2024</w:t>
      </w:r>
      <w:r w:rsidR="001C6423" w:rsidRPr="0081090C">
        <w:rPr>
          <w:rStyle w:val="Hyperlink"/>
          <w:rFonts w:ascii="Times New Roman" w:hAnsi="Times New Roman" w:cs="Times New Roman"/>
          <w:color w:val="000000" w:themeColor="text1"/>
          <w:sz w:val="24"/>
          <w:szCs w:val="24"/>
          <w:u w:val="none"/>
        </w:rPr>
        <w:t>).</w:t>
      </w:r>
      <w:r w:rsidR="00E77699" w:rsidRPr="0081090C">
        <w:rPr>
          <w:rStyle w:val="Hyperlink"/>
          <w:rFonts w:ascii="Times New Roman" w:hAnsi="Times New Roman" w:cs="Times New Roman"/>
          <w:color w:val="000000" w:themeColor="text1"/>
          <w:sz w:val="24"/>
          <w:szCs w:val="24"/>
          <w:u w:val="none"/>
        </w:rPr>
        <w:t xml:space="preserve"> </w:t>
      </w:r>
      <w:r w:rsidR="001C6423">
        <w:rPr>
          <w:rStyle w:val="Hyperlink"/>
          <w:rFonts w:ascii="Times New Roman" w:hAnsi="Times New Roman" w:cs="Times New Roman"/>
          <w:color w:val="000000" w:themeColor="text1"/>
          <w:sz w:val="24"/>
          <w:szCs w:val="24"/>
          <w:u w:val="none"/>
        </w:rPr>
        <w:t>Given the rarity of permanent exclusions (resulting in small sample sizes) we</w:t>
      </w:r>
      <w:r w:rsidR="008D406C">
        <w:rPr>
          <w:rStyle w:val="Hyperlink"/>
          <w:rFonts w:ascii="Times New Roman" w:hAnsi="Times New Roman" w:cs="Times New Roman"/>
          <w:color w:val="000000" w:themeColor="text1"/>
          <w:sz w:val="24"/>
          <w:szCs w:val="24"/>
          <w:u w:val="none"/>
        </w:rPr>
        <w:t xml:space="preserve"> only report on this outcome in the supplementary material (see Online Appendix B)</w:t>
      </w:r>
      <w:r w:rsidR="00EA1208" w:rsidRPr="0081090C">
        <w:rPr>
          <w:rStyle w:val="FootnoteReference"/>
          <w:rFonts w:ascii="Times New Roman" w:hAnsi="Times New Roman" w:cs="Times New Roman"/>
          <w:color w:val="000000" w:themeColor="text1"/>
          <w:sz w:val="24"/>
          <w:szCs w:val="24"/>
        </w:rPr>
        <w:footnoteReference w:id="5"/>
      </w:r>
      <w:r w:rsidR="00E77699" w:rsidRPr="0081090C">
        <w:rPr>
          <w:rStyle w:val="Hyperlink"/>
          <w:rFonts w:ascii="Times New Roman" w:hAnsi="Times New Roman" w:cs="Times New Roman"/>
          <w:color w:val="000000" w:themeColor="text1"/>
          <w:sz w:val="24"/>
          <w:szCs w:val="24"/>
          <w:u w:val="none"/>
        </w:rPr>
        <w:t>.</w:t>
      </w:r>
      <w:r w:rsidR="002F3BCF" w:rsidRPr="0081090C">
        <w:rPr>
          <w:rStyle w:val="Hyperlink"/>
          <w:rFonts w:ascii="Times New Roman" w:hAnsi="Times New Roman" w:cs="Times New Roman"/>
          <w:color w:val="000000" w:themeColor="text1"/>
          <w:sz w:val="24"/>
          <w:szCs w:val="24"/>
          <w:u w:val="none"/>
        </w:rPr>
        <w:t xml:space="preserve"> </w:t>
      </w:r>
    </w:p>
    <w:p w14:paraId="21B1620D" w14:textId="559A673F" w:rsidR="00717DF5" w:rsidRPr="0081090C" w:rsidRDefault="00E22852" w:rsidP="00717DF5">
      <w:pPr>
        <w:rPr>
          <w:rStyle w:val="Hyperlink"/>
          <w:rFonts w:ascii="Times New Roman" w:hAnsi="Times New Roman" w:cs="Times New Roman"/>
          <w:color w:val="000000" w:themeColor="text1"/>
          <w:sz w:val="24"/>
          <w:szCs w:val="24"/>
        </w:rPr>
      </w:pPr>
      <w:r>
        <w:rPr>
          <w:rStyle w:val="Hyperlink"/>
          <w:rFonts w:ascii="Times New Roman" w:hAnsi="Times New Roman" w:cs="Times New Roman"/>
          <w:color w:val="000000" w:themeColor="text1"/>
          <w:sz w:val="24"/>
          <w:szCs w:val="24"/>
        </w:rPr>
        <w:t>Criminal cautions and sentences</w:t>
      </w:r>
    </w:p>
    <w:p w14:paraId="344C39EC" w14:textId="6B56F018" w:rsidR="00AE08C4" w:rsidRDefault="002769B4" w:rsidP="00FC03E0">
      <w:pPr>
        <w:spacing w:line="360" w:lineRule="auto"/>
        <w:jc w:val="both"/>
        <w:rPr>
          <w:rStyle w:val="Hyperlink"/>
          <w:rFonts w:ascii="Times New Roman" w:hAnsi="Times New Roman" w:cs="Times New Roman"/>
          <w:color w:val="000000" w:themeColor="text1"/>
          <w:sz w:val="24"/>
          <w:szCs w:val="24"/>
          <w:u w:val="none"/>
        </w:rPr>
      </w:pPr>
      <w:r w:rsidRPr="008D406C">
        <w:rPr>
          <w:rStyle w:val="Hyperlink"/>
          <w:rFonts w:ascii="Times New Roman" w:hAnsi="Times New Roman" w:cs="Times New Roman"/>
          <w:color w:val="000000" w:themeColor="text1"/>
          <w:sz w:val="24"/>
          <w:szCs w:val="24"/>
          <w:u w:val="none"/>
        </w:rPr>
        <w:t>The data</w:t>
      </w:r>
      <w:r w:rsidR="009A31AE" w:rsidRPr="008D406C">
        <w:rPr>
          <w:rStyle w:val="Hyperlink"/>
          <w:rFonts w:ascii="Times New Roman" w:hAnsi="Times New Roman" w:cs="Times New Roman"/>
          <w:color w:val="000000" w:themeColor="text1"/>
          <w:sz w:val="24"/>
          <w:szCs w:val="24"/>
          <w:u w:val="none"/>
        </w:rPr>
        <w:t xml:space="preserve"> contains</w:t>
      </w:r>
      <w:r w:rsidRPr="008D406C">
        <w:rPr>
          <w:rStyle w:val="Hyperlink"/>
          <w:rFonts w:ascii="Times New Roman" w:hAnsi="Times New Roman" w:cs="Times New Roman"/>
          <w:color w:val="000000" w:themeColor="text1"/>
          <w:sz w:val="24"/>
          <w:szCs w:val="24"/>
          <w:u w:val="none"/>
        </w:rPr>
        <w:t xml:space="preserve"> information on all </w:t>
      </w:r>
      <w:r w:rsidR="00CE62B5" w:rsidRPr="008D406C">
        <w:rPr>
          <w:rStyle w:val="Hyperlink"/>
          <w:rFonts w:ascii="Times New Roman" w:hAnsi="Times New Roman" w:cs="Times New Roman"/>
          <w:color w:val="000000" w:themeColor="text1"/>
          <w:sz w:val="24"/>
          <w:szCs w:val="24"/>
          <w:u w:val="none"/>
        </w:rPr>
        <w:t>criminal cautions and sentences</w:t>
      </w:r>
      <w:r w:rsidR="008D406C" w:rsidRPr="008D406C">
        <w:rPr>
          <w:rStyle w:val="Hyperlink"/>
          <w:rFonts w:ascii="Times New Roman" w:hAnsi="Times New Roman" w:cs="Times New Roman"/>
          <w:color w:val="000000" w:themeColor="text1"/>
          <w:sz w:val="24"/>
          <w:szCs w:val="24"/>
          <w:u w:val="none"/>
        </w:rPr>
        <w:t xml:space="preserve"> each young person received (if any)</w:t>
      </w:r>
      <w:r w:rsidRPr="008D406C">
        <w:rPr>
          <w:rStyle w:val="Hyperlink"/>
          <w:rFonts w:ascii="Times New Roman" w:hAnsi="Times New Roman" w:cs="Times New Roman"/>
          <w:color w:val="000000" w:themeColor="text1"/>
          <w:sz w:val="24"/>
          <w:szCs w:val="24"/>
          <w:u w:val="none"/>
        </w:rPr>
        <w:t>, including offense date, the age of the individual when the</w:t>
      </w:r>
      <w:r w:rsidR="008D406C" w:rsidRPr="008D406C">
        <w:rPr>
          <w:rStyle w:val="Hyperlink"/>
          <w:rFonts w:ascii="Times New Roman" w:hAnsi="Times New Roman" w:cs="Times New Roman"/>
          <w:color w:val="000000" w:themeColor="text1"/>
          <w:sz w:val="24"/>
          <w:szCs w:val="24"/>
          <w:u w:val="none"/>
        </w:rPr>
        <w:t xml:space="preserve"> offense was</w:t>
      </w:r>
      <w:r w:rsidRPr="008D406C">
        <w:rPr>
          <w:rStyle w:val="Hyperlink"/>
          <w:rFonts w:ascii="Times New Roman" w:hAnsi="Times New Roman" w:cs="Times New Roman"/>
          <w:color w:val="000000" w:themeColor="text1"/>
          <w:sz w:val="24"/>
          <w:szCs w:val="24"/>
          <w:u w:val="none"/>
        </w:rPr>
        <w:t xml:space="preserve"> committed, offense type (e.g. motoring, violent crime) and a “disposal code” (i.e. what the </w:t>
      </w:r>
      <w:r w:rsidR="00CE62B5" w:rsidRPr="008D406C">
        <w:rPr>
          <w:rStyle w:val="Hyperlink"/>
          <w:rFonts w:ascii="Times New Roman" w:hAnsi="Times New Roman" w:cs="Times New Roman"/>
          <w:color w:val="000000" w:themeColor="text1"/>
          <w:sz w:val="24"/>
          <w:szCs w:val="24"/>
          <w:u w:val="none"/>
        </w:rPr>
        <w:t>caution/sentence</w:t>
      </w:r>
      <w:r w:rsidRPr="008D406C">
        <w:rPr>
          <w:rStyle w:val="Hyperlink"/>
          <w:rFonts w:ascii="Times New Roman" w:hAnsi="Times New Roman" w:cs="Times New Roman"/>
          <w:color w:val="000000" w:themeColor="text1"/>
          <w:sz w:val="24"/>
          <w:szCs w:val="24"/>
          <w:u w:val="none"/>
        </w:rPr>
        <w:t xml:space="preserve"> led to – e.g. custodial sentence, fine). </w:t>
      </w:r>
      <w:r w:rsidR="008D406C">
        <w:rPr>
          <w:rStyle w:val="Hyperlink"/>
          <w:rFonts w:ascii="Times New Roman" w:hAnsi="Times New Roman" w:cs="Times New Roman"/>
          <w:color w:val="000000" w:themeColor="text1"/>
          <w:sz w:val="24"/>
          <w:szCs w:val="24"/>
          <w:u w:val="none"/>
        </w:rPr>
        <w:t>F</w:t>
      </w:r>
      <w:r w:rsidRPr="008D406C">
        <w:rPr>
          <w:rStyle w:val="Hyperlink"/>
          <w:rFonts w:ascii="Times New Roman" w:hAnsi="Times New Roman" w:cs="Times New Roman"/>
          <w:color w:val="000000" w:themeColor="text1"/>
          <w:sz w:val="24"/>
          <w:szCs w:val="24"/>
          <w:u w:val="none"/>
        </w:rPr>
        <w:t xml:space="preserve">or each child in the dataset, we derive a set of binary indicators. These are coded as one if they were </w:t>
      </w:r>
      <w:r w:rsidR="00CE62B5" w:rsidRPr="008D406C">
        <w:rPr>
          <w:rStyle w:val="Hyperlink"/>
          <w:rFonts w:ascii="Times New Roman" w:hAnsi="Times New Roman" w:cs="Times New Roman"/>
          <w:color w:val="000000" w:themeColor="text1"/>
          <w:sz w:val="24"/>
          <w:szCs w:val="24"/>
          <w:u w:val="none"/>
        </w:rPr>
        <w:t>cautioned or sentenced</w:t>
      </w:r>
      <w:r w:rsidRPr="008D406C">
        <w:rPr>
          <w:rStyle w:val="Hyperlink"/>
          <w:rFonts w:ascii="Times New Roman" w:hAnsi="Times New Roman" w:cs="Times New Roman"/>
          <w:color w:val="000000" w:themeColor="text1"/>
          <w:sz w:val="24"/>
          <w:szCs w:val="24"/>
          <w:u w:val="none"/>
        </w:rPr>
        <w:t xml:space="preserve"> for any reason at a given age (e.g. ever </w:t>
      </w:r>
      <w:r w:rsidR="00CE62B5" w:rsidRPr="008D406C">
        <w:rPr>
          <w:rStyle w:val="Hyperlink"/>
          <w:rFonts w:ascii="Times New Roman" w:hAnsi="Times New Roman" w:cs="Times New Roman"/>
          <w:color w:val="000000" w:themeColor="text1"/>
          <w:sz w:val="24"/>
          <w:szCs w:val="24"/>
          <w:u w:val="none"/>
        </w:rPr>
        <w:t>cautioned or sentenced</w:t>
      </w:r>
      <w:r w:rsidRPr="008D406C">
        <w:rPr>
          <w:rStyle w:val="Hyperlink"/>
          <w:rFonts w:ascii="Times New Roman" w:hAnsi="Times New Roman" w:cs="Times New Roman"/>
          <w:color w:val="000000" w:themeColor="text1"/>
          <w:sz w:val="24"/>
          <w:szCs w:val="24"/>
          <w:u w:val="none"/>
        </w:rPr>
        <w:t xml:space="preserve"> at age 17) and zero otherwise. </w:t>
      </w:r>
      <w:r w:rsidR="008D406C" w:rsidRPr="008D406C">
        <w:rPr>
          <w:rStyle w:val="Hyperlink"/>
          <w:rFonts w:ascii="Times New Roman" w:hAnsi="Times New Roman" w:cs="Times New Roman"/>
          <w:color w:val="000000" w:themeColor="text1"/>
          <w:sz w:val="24"/>
          <w:szCs w:val="24"/>
          <w:u w:val="none"/>
        </w:rPr>
        <w:t>W</w:t>
      </w:r>
      <w:r w:rsidRPr="008D406C">
        <w:rPr>
          <w:rStyle w:val="Hyperlink"/>
          <w:rFonts w:ascii="Times New Roman" w:hAnsi="Times New Roman" w:cs="Times New Roman"/>
          <w:color w:val="000000" w:themeColor="text1"/>
          <w:sz w:val="24"/>
          <w:szCs w:val="24"/>
          <w:u w:val="none"/>
        </w:rPr>
        <w:t>e</w:t>
      </w:r>
      <w:r w:rsidR="008D406C" w:rsidRPr="008D406C">
        <w:rPr>
          <w:rStyle w:val="Hyperlink"/>
          <w:rFonts w:ascii="Times New Roman" w:hAnsi="Times New Roman" w:cs="Times New Roman"/>
          <w:color w:val="000000" w:themeColor="text1"/>
          <w:sz w:val="24"/>
          <w:szCs w:val="24"/>
          <w:u w:val="none"/>
        </w:rPr>
        <w:t xml:space="preserve"> also</w:t>
      </w:r>
      <w:r w:rsidRPr="008D406C">
        <w:rPr>
          <w:rStyle w:val="Hyperlink"/>
          <w:rFonts w:ascii="Times New Roman" w:hAnsi="Times New Roman" w:cs="Times New Roman"/>
          <w:color w:val="000000" w:themeColor="text1"/>
          <w:sz w:val="24"/>
          <w:szCs w:val="24"/>
          <w:u w:val="none"/>
        </w:rPr>
        <w:t xml:space="preserve"> derive further summary measures for whether the young person ever committed an offense at any age, and whether they committed any offense as an adult</w:t>
      </w:r>
      <w:r w:rsidR="004E1F20" w:rsidRPr="008D406C">
        <w:rPr>
          <w:rStyle w:val="Hyperlink"/>
          <w:rFonts w:ascii="Times New Roman" w:hAnsi="Times New Roman" w:cs="Times New Roman"/>
          <w:color w:val="000000" w:themeColor="text1"/>
          <w:sz w:val="24"/>
          <w:szCs w:val="24"/>
          <w:u w:val="none"/>
        </w:rPr>
        <w:t xml:space="preserve"> (defined as after turning age 18). </w:t>
      </w:r>
      <w:r w:rsidR="004E1F20" w:rsidRPr="008D406C">
        <w:rPr>
          <w:rStyle w:val="Hyperlink"/>
          <w:rFonts w:ascii="Times New Roman" w:hAnsi="Times New Roman" w:cs="Times New Roman"/>
          <w:color w:val="000000" w:themeColor="text1"/>
          <w:sz w:val="24"/>
          <w:szCs w:val="24"/>
          <w:u w:val="none"/>
        </w:rPr>
        <w:lastRenderedPageBreak/>
        <w:t xml:space="preserve">These variables are used to address our final research question, where we examine the extent that socio-economic differences in </w:t>
      </w:r>
      <w:r w:rsidR="00BF01A0" w:rsidRPr="008D406C">
        <w:rPr>
          <w:rStyle w:val="Hyperlink"/>
          <w:rFonts w:ascii="Times New Roman" w:hAnsi="Times New Roman" w:cs="Times New Roman"/>
          <w:color w:val="000000" w:themeColor="text1"/>
          <w:sz w:val="24"/>
          <w:szCs w:val="24"/>
          <w:u w:val="none"/>
        </w:rPr>
        <w:t>criminal caution/sentences</w:t>
      </w:r>
      <w:r w:rsidR="004E1F20" w:rsidRPr="008D406C">
        <w:rPr>
          <w:rStyle w:val="Hyperlink"/>
          <w:rFonts w:ascii="Times New Roman" w:hAnsi="Times New Roman" w:cs="Times New Roman"/>
          <w:color w:val="000000" w:themeColor="text1"/>
          <w:sz w:val="24"/>
          <w:szCs w:val="24"/>
          <w:u w:val="none"/>
        </w:rPr>
        <w:t xml:space="preserve"> amongst high early achievers can be explained by variation in behaviours and outcomes during their time at school.</w:t>
      </w:r>
      <w:r w:rsidR="004E1F20" w:rsidRPr="0081090C">
        <w:rPr>
          <w:rStyle w:val="Hyperlink"/>
          <w:rFonts w:ascii="Times New Roman" w:hAnsi="Times New Roman" w:cs="Times New Roman"/>
          <w:color w:val="000000" w:themeColor="text1"/>
          <w:sz w:val="24"/>
          <w:szCs w:val="24"/>
          <w:u w:val="none"/>
        </w:rPr>
        <w:t xml:space="preserve"> </w:t>
      </w:r>
    </w:p>
    <w:p w14:paraId="1BFDBC30" w14:textId="3BFE00BE" w:rsidR="00717DF5" w:rsidRPr="0081090C" w:rsidRDefault="00717DF5" w:rsidP="009260F5">
      <w:pPr>
        <w:pStyle w:val="ListParagraph"/>
        <w:numPr>
          <w:ilvl w:val="0"/>
          <w:numId w:val="1"/>
        </w:numPr>
        <w:spacing w:line="276" w:lineRule="auto"/>
        <w:jc w:val="both"/>
        <w:rPr>
          <w:rStyle w:val="Hyperlink"/>
          <w:rFonts w:ascii="Times New Roman" w:hAnsi="Times New Roman" w:cs="Times New Roman"/>
          <w:b/>
          <w:bCs/>
          <w:color w:val="000000" w:themeColor="text1"/>
          <w:sz w:val="24"/>
          <w:szCs w:val="24"/>
          <w:u w:val="none"/>
        </w:rPr>
      </w:pPr>
      <w:r w:rsidRPr="0081090C">
        <w:rPr>
          <w:rStyle w:val="Hyperlink"/>
          <w:rFonts w:ascii="Times New Roman" w:hAnsi="Times New Roman" w:cs="Times New Roman"/>
          <w:b/>
          <w:bCs/>
          <w:color w:val="000000" w:themeColor="text1"/>
          <w:sz w:val="24"/>
          <w:szCs w:val="24"/>
          <w:u w:val="none"/>
        </w:rPr>
        <w:t>Methodology</w:t>
      </w:r>
    </w:p>
    <w:p w14:paraId="4B73F0C3" w14:textId="382698C9" w:rsidR="002D76ED" w:rsidRPr="0081090C" w:rsidRDefault="009C01AD" w:rsidP="00BF01A0">
      <w:pPr>
        <w:jc w:val="both"/>
        <w:rPr>
          <w:rStyle w:val="Hyperlink"/>
          <w:rFonts w:ascii="Times New Roman" w:hAnsi="Times New Roman" w:cs="Times New Roman"/>
          <w:color w:val="000000" w:themeColor="text1"/>
          <w:sz w:val="24"/>
          <w:szCs w:val="24"/>
        </w:rPr>
      </w:pPr>
      <w:r w:rsidRPr="0081090C">
        <w:rPr>
          <w:rStyle w:val="Hyperlink"/>
          <w:rFonts w:ascii="Times New Roman" w:hAnsi="Times New Roman" w:cs="Times New Roman"/>
          <w:color w:val="000000" w:themeColor="text1"/>
          <w:sz w:val="24"/>
          <w:szCs w:val="24"/>
        </w:rPr>
        <w:t>Research question</w:t>
      </w:r>
      <w:r w:rsidR="00987A60" w:rsidRPr="0081090C">
        <w:rPr>
          <w:rStyle w:val="Hyperlink"/>
          <w:rFonts w:ascii="Times New Roman" w:hAnsi="Times New Roman" w:cs="Times New Roman"/>
          <w:color w:val="000000" w:themeColor="text1"/>
          <w:sz w:val="24"/>
          <w:szCs w:val="24"/>
        </w:rPr>
        <w:t>s</w:t>
      </w:r>
      <w:r w:rsidRPr="0081090C">
        <w:rPr>
          <w:rStyle w:val="Hyperlink"/>
          <w:rFonts w:ascii="Times New Roman" w:hAnsi="Times New Roman" w:cs="Times New Roman"/>
          <w:color w:val="000000" w:themeColor="text1"/>
          <w:sz w:val="24"/>
          <w:szCs w:val="24"/>
        </w:rPr>
        <w:t xml:space="preserve"> 1</w:t>
      </w:r>
      <w:r w:rsidR="00987A60" w:rsidRPr="0081090C">
        <w:rPr>
          <w:rStyle w:val="Hyperlink"/>
          <w:rFonts w:ascii="Times New Roman" w:hAnsi="Times New Roman" w:cs="Times New Roman"/>
          <w:color w:val="000000" w:themeColor="text1"/>
          <w:sz w:val="24"/>
          <w:szCs w:val="24"/>
        </w:rPr>
        <w:t>-3</w:t>
      </w:r>
      <w:r w:rsidRPr="0081090C">
        <w:rPr>
          <w:rStyle w:val="Hyperlink"/>
          <w:rFonts w:ascii="Times New Roman" w:hAnsi="Times New Roman" w:cs="Times New Roman"/>
          <w:color w:val="000000" w:themeColor="text1"/>
          <w:sz w:val="24"/>
          <w:szCs w:val="24"/>
        </w:rPr>
        <w:t xml:space="preserve">. </w:t>
      </w:r>
      <w:r w:rsidR="002D76ED" w:rsidRPr="0081090C">
        <w:rPr>
          <w:rStyle w:val="Hyperlink"/>
          <w:rFonts w:ascii="Times New Roman" w:hAnsi="Times New Roman" w:cs="Times New Roman"/>
          <w:color w:val="000000" w:themeColor="text1"/>
          <w:sz w:val="24"/>
          <w:szCs w:val="24"/>
        </w:rPr>
        <w:t>Differences in sc</w:t>
      </w:r>
      <w:r w:rsidR="00987A60" w:rsidRPr="0081090C">
        <w:rPr>
          <w:rStyle w:val="Hyperlink"/>
          <w:rFonts w:ascii="Times New Roman" w:hAnsi="Times New Roman" w:cs="Times New Roman"/>
          <w:color w:val="000000" w:themeColor="text1"/>
          <w:sz w:val="24"/>
          <w:szCs w:val="24"/>
        </w:rPr>
        <w:t>hool absences, school</w:t>
      </w:r>
      <w:r w:rsidR="002D76ED" w:rsidRPr="0081090C">
        <w:rPr>
          <w:rStyle w:val="Hyperlink"/>
          <w:rFonts w:ascii="Times New Roman" w:hAnsi="Times New Roman" w:cs="Times New Roman"/>
          <w:color w:val="000000" w:themeColor="text1"/>
          <w:sz w:val="24"/>
          <w:szCs w:val="24"/>
        </w:rPr>
        <w:t xml:space="preserve"> exclusions and </w:t>
      </w:r>
      <w:r w:rsidR="00BF01A0">
        <w:rPr>
          <w:rStyle w:val="Hyperlink"/>
          <w:rFonts w:ascii="Times New Roman" w:hAnsi="Times New Roman" w:cs="Times New Roman"/>
          <w:color w:val="000000" w:themeColor="text1"/>
          <w:sz w:val="24"/>
          <w:szCs w:val="24"/>
        </w:rPr>
        <w:t>criminal cautions/sentences</w:t>
      </w:r>
      <w:r w:rsidR="002D76ED" w:rsidRPr="0081090C">
        <w:rPr>
          <w:rStyle w:val="Hyperlink"/>
          <w:rFonts w:ascii="Times New Roman" w:hAnsi="Times New Roman" w:cs="Times New Roman"/>
          <w:color w:val="000000" w:themeColor="text1"/>
          <w:sz w:val="24"/>
          <w:szCs w:val="24"/>
        </w:rPr>
        <w:t>.</w:t>
      </w:r>
    </w:p>
    <w:p w14:paraId="3CBA07EB" w14:textId="4E390558" w:rsidR="002D76ED" w:rsidRPr="0081090C" w:rsidRDefault="00D43E64" w:rsidP="00D43E64">
      <w:pPr>
        <w:spacing w:line="360" w:lineRule="auto"/>
        <w:jc w:val="both"/>
        <w:rPr>
          <w:rStyle w:val="Hyperlink"/>
          <w:rFonts w:ascii="Times New Roman" w:hAnsi="Times New Roman" w:cs="Times New Roman"/>
          <w:color w:val="000000" w:themeColor="text1"/>
          <w:sz w:val="24"/>
          <w:szCs w:val="24"/>
          <w:u w:val="none"/>
        </w:rPr>
      </w:pPr>
      <w:r w:rsidRPr="0081090C">
        <w:rPr>
          <w:rStyle w:val="Hyperlink"/>
          <w:rFonts w:ascii="Times New Roman" w:hAnsi="Times New Roman" w:cs="Times New Roman"/>
          <w:color w:val="000000" w:themeColor="text1"/>
          <w:sz w:val="24"/>
          <w:szCs w:val="24"/>
          <w:u w:val="none"/>
        </w:rPr>
        <w:t>For each of our first three research questions we begin by presenting a series of descriptive statistics. For research question 1 (school absences) this compares the percent of school sess</w:t>
      </w:r>
      <w:r w:rsidR="00796801" w:rsidRPr="0081090C">
        <w:rPr>
          <w:rStyle w:val="Hyperlink"/>
          <w:rFonts w:ascii="Times New Roman" w:hAnsi="Times New Roman" w:cs="Times New Roman"/>
          <w:color w:val="000000" w:themeColor="text1"/>
          <w:sz w:val="24"/>
          <w:szCs w:val="24"/>
          <w:u w:val="none"/>
        </w:rPr>
        <w:t xml:space="preserve">ions attended by high-achieving children from socio-economically advantaged and disadvantaged backgrounds during each term they were at school. A similar analysis is presented to address research question 2 (exclusions from school) though now only focusing on </w:t>
      </w:r>
      <w:r w:rsidR="00881677" w:rsidRPr="0081090C">
        <w:rPr>
          <w:rStyle w:val="Hyperlink"/>
          <w:rFonts w:ascii="Times New Roman" w:hAnsi="Times New Roman" w:cs="Times New Roman"/>
          <w:color w:val="000000" w:themeColor="text1"/>
          <w:sz w:val="24"/>
          <w:szCs w:val="24"/>
          <w:u w:val="none"/>
        </w:rPr>
        <w:t>occurrences during secondary school (given that few children receive exclusions from primary school</w:t>
      </w:r>
      <w:r w:rsidR="00C12225" w:rsidRPr="0081090C">
        <w:rPr>
          <w:rStyle w:val="Hyperlink"/>
          <w:rFonts w:ascii="Times New Roman" w:hAnsi="Times New Roman" w:cs="Times New Roman"/>
          <w:color w:val="000000" w:themeColor="text1"/>
          <w:sz w:val="24"/>
          <w:szCs w:val="24"/>
          <w:u w:val="none"/>
        </w:rPr>
        <w:t xml:space="preserve">). For research question 3 (incidence of </w:t>
      </w:r>
      <w:r w:rsidR="00645C1E">
        <w:rPr>
          <w:rStyle w:val="Hyperlink"/>
          <w:rFonts w:ascii="Times New Roman" w:hAnsi="Times New Roman" w:cs="Times New Roman"/>
          <w:color w:val="000000" w:themeColor="text1"/>
          <w:sz w:val="24"/>
          <w:szCs w:val="24"/>
          <w:u w:val="none"/>
        </w:rPr>
        <w:t>criminal cautions/sentences</w:t>
      </w:r>
      <w:r w:rsidR="00C12225" w:rsidRPr="0081090C">
        <w:rPr>
          <w:rStyle w:val="Hyperlink"/>
          <w:rFonts w:ascii="Times New Roman" w:hAnsi="Times New Roman" w:cs="Times New Roman"/>
          <w:color w:val="000000" w:themeColor="text1"/>
          <w:sz w:val="24"/>
          <w:szCs w:val="24"/>
          <w:u w:val="none"/>
        </w:rPr>
        <w:t>) we present</w:t>
      </w:r>
      <w:r w:rsidR="00D41B83" w:rsidRPr="0081090C">
        <w:rPr>
          <w:rStyle w:val="Hyperlink"/>
          <w:rFonts w:ascii="Times New Roman" w:hAnsi="Times New Roman" w:cs="Times New Roman"/>
          <w:color w:val="000000" w:themeColor="text1"/>
          <w:sz w:val="24"/>
          <w:szCs w:val="24"/>
          <w:u w:val="none"/>
        </w:rPr>
        <w:t xml:space="preserve"> annual figures from secondary school into </w:t>
      </w:r>
      <w:r w:rsidR="00E35B78" w:rsidRPr="0081090C">
        <w:rPr>
          <w:rStyle w:val="Hyperlink"/>
          <w:rFonts w:ascii="Times New Roman" w:hAnsi="Times New Roman" w:cs="Times New Roman"/>
          <w:color w:val="000000" w:themeColor="text1"/>
          <w:sz w:val="24"/>
          <w:szCs w:val="24"/>
          <w:u w:val="none"/>
        </w:rPr>
        <w:t>adulthood</w:t>
      </w:r>
      <w:r w:rsidR="00D41B83" w:rsidRPr="0081090C">
        <w:rPr>
          <w:rStyle w:val="Hyperlink"/>
          <w:rFonts w:ascii="Times New Roman" w:hAnsi="Times New Roman" w:cs="Times New Roman"/>
          <w:color w:val="000000" w:themeColor="text1"/>
          <w:sz w:val="24"/>
          <w:szCs w:val="24"/>
          <w:u w:val="none"/>
        </w:rPr>
        <w:t xml:space="preserve"> (e.g</w:t>
      </w:r>
      <w:r w:rsidR="00E35B78" w:rsidRPr="0081090C">
        <w:rPr>
          <w:rStyle w:val="Hyperlink"/>
          <w:rFonts w:ascii="Times New Roman" w:hAnsi="Times New Roman" w:cs="Times New Roman"/>
          <w:color w:val="000000" w:themeColor="text1"/>
          <w:sz w:val="24"/>
          <w:szCs w:val="24"/>
          <w:u w:val="none"/>
        </w:rPr>
        <w:t>.</w:t>
      </w:r>
      <w:r w:rsidR="00D41B83" w:rsidRPr="0081090C">
        <w:rPr>
          <w:rStyle w:val="Hyperlink"/>
          <w:rFonts w:ascii="Times New Roman" w:hAnsi="Times New Roman" w:cs="Times New Roman"/>
          <w:color w:val="000000" w:themeColor="text1"/>
          <w:sz w:val="24"/>
          <w:szCs w:val="24"/>
          <w:u w:val="none"/>
        </w:rPr>
        <w:t xml:space="preserve"> age 11 through to</w:t>
      </w:r>
      <w:r w:rsidR="00DC37A3">
        <w:rPr>
          <w:rStyle w:val="Hyperlink"/>
          <w:rFonts w:ascii="Times New Roman" w:hAnsi="Times New Roman" w:cs="Times New Roman"/>
          <w:color w:val="000000" w:themeColor="text1"/>
          <w:sz w:val="24"/>
          <w:szCs w:val="24"/>
          <w:u w:val="none"/>
        </w:rPr>
        <w:t xml:space="preserve"> – where possible -</w:t>
      </w:r>
      <w:r w:rsidR="00D41B83" w:rsidRPr="0081090C">
        <w:rPr>
          <w:rStyle w:val="Hyperlink"/>
          <w:rFonts w:ascii="Times New Roman" w:hAnsi="Times New Roman" w:cs="Times New Roman"/>
          <w:color w:val="000000" w:themeColor="text1"/>
          <w:sz w:val="24"/>
          <w:szCs w:val="24"/>
          <w:u w:val="none"/>
        </w:rPr>
        <w:t xml:space="preserve"> age </w:t>
      </w:r>
      <w:r w:rsidR="00DC37A3">
        <w:rPr>
          <w:rStyle w:val="Hyperlink"/>
          <w:rFonts w:ascii="Times New Roman" w:hAnsi="Times New Roman" w:cs="Times New Roman"/>
          <w:color w:val="000000" w:themeColor="text1"/>
          <w:sz w:val="24"/>
          <w:szCs w:val="24"/>
          <w:u w:val="none"/>
        </w:rPr>
        <w:t>30</w:t>
      </w:r>
      <w:r w:rsidR="00D41B83" w:rsidRPr="0081090C">
        <w:rPr>
          <w:rStyle w:val="Hyperlink"/>
          <w:rFonts w:ascii="Times New Roman" w:hAnsi="Times New Roman" w:cs="Times New Roman"/>
          <w:color w:val="000000" w:themeColor="text1"/>
          <w:sz w:val="24"/>
          <w:szCs w:val="24"/>
          <w:u w:val="none"/>
        </w:rPr>
        <w:t>)</w:t>
      </w:r>
      <w:r w:rsidR="003801FA" w:rsidRPr="0081090C">
        <w:rPr>
          <w:rStyle w:val="FootnoteReference"/>
          <w:rFonts w:ascii="Times New Roman" w:hAnsi="Times New Roman" w:cs="Times New Roman"/>
          <w:color w:val="000000" w:themeColor="text1"/>
          <w:sz w:val="24"/>
          <w:szCs w:val="24"/>
        </w:rPr>
        <w:footnoteReference w:id="6"/>
      </w:r>
      <w:r w:rsidR="003801FA" w:rsidRPr="0081090C">
        <w:rPr>
          <w:rStyle w:val="Hyperlink"/>
          <w:rFonts w:ascii="Times New Roman" w:hAnsi="Times New Roman" w:cs="Times New Roman"/>
          <w:color w:val="000000" w:themeColor="text1"/>
          <w:sz w:val="24"/>
          <w:szCs w:val="24"/>
          <w:u w:val="none"/>
        </w:rPr>
        <w:t>.</w:t>
      </w:r>
      <w:r w:rsidR="00FC344C" w:rsidRPr="0081090C">
        <w:rPr>
          <w:rStyle w:val="Hyperlink"/>
          <w:rFonts w:ascii="Times New Roman" w:hAnsi="Times New Roman" w:cs="Times New Roman"/>
          <w:color w:val="000000" w:themeColor="text1"/>
          <w:sz w:val="24"/>
          <w:szCs w:val="24"/>
          <w:u w:val="none"/>
        </w:rPr>
        <w:t xml:space="preserve"> These results together pr</w:t>
      </w:r>
      <w:r w:rsidR="00414D5E" w:rsidRPr="0081090C">
        <w:rPr>
          <w:rStyle w:val="Hyperlink"/>
          <w:rFonts w:ascii="Times New Roman" w:hAnsi="Times New Roman" w:cs="Times New Roman"/>
          <w:color w:val="000000" w:themeColor="text1"/>
          <w:sz w:val="24"/>
          <w:szCs w:val="24"/>
          <w:u w:val="none"/>
        </w:rPr>
        <w:t>ovide a detailed overview of how the behaviour of high-achieving young people from disadvantaged backgrounds changes as they progress through secondary school</w:t>
      </w:r>
      <w:r w:rsidR="00847E42" w:rsidRPr="0081090C">
        <w:rPr>
          <w:rStyle w:val="Hyperlink"/>
          <w:rFonts w:ascii="Times New Roman" w:hAnsi="Times New Roman" w:cs="Times New Roman"/>
          <w:color w:val="000000" w:themeColor="text1"/>
          <w:sz w:val="24"/>
          <w:szCs w:val="24"/>
          <w:u w:val="none"/>
        </w:rPr>
        <w:t>.</w:t>
      </w:r>
    </w:p>
    <w:p w14:paraId="0ABA9FB5" w14:textId="5223AE4D" w:rsidR="00D7724A" w:rsidRPr="0081090C" w:rsidRDefault="00847E42" w:rsidP="00D7724A">
      <w:pPr>
        <w:spacing w:line="360" w:lineRule="auto"/>
        <w:jc w:val="both"/>
        <w:rPr>
          <w:rStyle w:val="Hyperlink"/>
          <w:rFonts w:ascii="Times New Roman" w:hAnsi="Times New Roman" w:cs="Times New Roman"/>
          <w:color w:val="000000" w:themeColor="text1"/>
          <w:sz w:val="24"/>
          <w:szCs w:val="24"/>
          <w:u w:val="none"/>
        </w:rPr>
      </w:pPr>
      <w:r w:rsidRPr="0081090C">
        <w:rPr>
          <w:rStyle w:val="Hyperlink"/>
          <w:rFonts w:ascii="Times New Roman" w:hAnsi="Times New Roman" w:cs="Times New Roman"/>
          <w:color w:val="000000" w:themeColor="text1"/>
          <w:sz w:val="24"/>
          <w:szCs w:val="24"/>
          <w:u w:val="none"/>
        </w:rPr>
        <w:t>We then turn to differences across high-achieving</w:t>
      </w:r>
      <w:r w:rsidR="00AE08C4">
        <w:rPr>
          <w:rStyle w:val="Hyperlink"/>
          <w:rFonts w:ascii="Times New Roman" w:hAnsi="Times New Roman" w:cs="Times New Roman"/>
          <w:color w:val="000000" w:themeColor="text1"/>
          <w:sz w:val="24"/>
          <w:szCs w:val="24"/>
          <w:u w:val="none"/>
        </w:rPr>
        <w:t xml:space="preserve"> disadvantaged</w:t>
      </w:r>
      <w:r w:rsidRPr="0081090C">
        <w:rPr>
          <w:rStyle w:val="Hyperlink"/>
          <w:rFonts w:ascii="Times New Roman" w:hAnsi="Times New Roman" w:cs="Times New Roman"/>
          <w:color w:val="000000" w:themeColor="text1"/>
          <w:sz w:val="24"/>
          <w:szCs w:val="24"/>
          <w:u w:val="none"/>
        </w:rPr>
        <w:t xml:space="preserve"> children of different genders and ethnicities. Specifically, </w:t>
      </w:r>
      <w:r w:rsidR="00AE08C4">
        <w:rPr>
          <w:rStyle w:val="Hyperlink"/>
          <w:rFonts w:ascii="Times New Roman" w:hAnsi="Times New Roman" w:cs="Times New Roman"/>
          <w:color w:val="000000" w:themeColor="text1"/>
          <w:sz w:val="24"/>
          <w:szCs w:val="24"/>
          <w:u w:val="none"/>
        </w:rPr>
        <w:t>outcomes are</w:t>
      </w:r>
      <w:r w:rsidRPr="0081090C">
        <w:rPr>
          <w:rStyle w:val="Hyperlink"/>
          <w:rFonts w:ascii="Times New Roman" w:hAnsi="Times New Roman" w:cs="Times New Roman"/>
          <w:color w:val="000000" w:themeColor="text1"/>
          <w:sz w:val="24"/>
          <w:szCs w:val="24"/>
          <w:u w:val="none"/>
        </w:rPr>
        <w:t xml:space="preserve"> </w:t>
      </w:r>
      <w:r w:rsidR="00340989" w:rsidRPr="0081090C">
        <w:rPr>
          <w:rStyle w:val="Hyperlink"/>
          <w:rFonts w:ascii="Times New Roman" w:hAnsi="Times New Roman" w:cs="Times New Roman"/>
          <w:color w:val="000000" w:themeColor="text1"/>
          <w:sz w:val="24"/>
          <w:szCs w:val="24"/>
          <w:u w:val="none"/>
        </w:rPr>
        <w:t>compare</w:t>
      </w:r>
      <w:r w:rsidR="00AE08C4">
        <w:rPr>
          <w:rStyle w:val="Hyperlink"/>
          <w:rFonts w:ascii="Times New Roman" w:hAnsi="Times New Roman" w:cs="Times New Roman"/>
          <w:color w:val="000000" w:themeColor="text1"/>
          <w:sz w:val="24"/>
          <w:szCs w:val="24"/>
          <w:u w:val="none"/>
        </w:rPr>
        <w:t>d</w:t>
      </w:r>
      <w:r w:rsidR="00340989" w:rsidRPr="0081090C">
        <w:rPr>
          <w:rStyle w:val="Hyperlink"/>
          <w:rFonts w:ascii="Times New Roman" w:hAnsi="Times New Roman" w:cs="Times New Roman"/>
          <w:color w:val="000000" w:themeColor="text1"/>
          <w:sz w:val="24"/>
          <w:szCs w:val="24"/>
          <w:u w:val="none"/>
        </w:rPr>
        <w:t xml:space="preserve"> across the following sub-groups:</w:t>
      </w:r>
    </w:p>
    <w:p w14:paraId="3864349D" w14:textId="77777777" w:rsidR="00D7724A" w:rsidRPr="0081090C" w:rsidRDefault="00D7724A" w:rsidP="00D7724A">
      <w:pPr>
        <w:pStyle w:val="ListParagraph"/>
        <w:numPr>
          <w:ilvl w:val="0"/>
          <w:numId w:val="3"/>
        </w:numPr>
        <w:spacing w:line="360" w:lineRule="auto"/>
        <w:jc w:val="both"/>
        <w:rPr>
          <w:rStyle w:val="Hyperlink"/>
          <w:rFonts w:ascii="Times New Roman" w:hAnsi="Times New Roman" w:cs="Times New Roman"/>
          <w:color w:val="000000" w:themeColor="text1"/>
          <w:sz w:val="24"/>
          <w:szCs w:val="24"/>
          <w:u w:val="none"/>
        </w:rPr>
      </w:pPr>
      <w:r w:rsidRPr="0081090C">
        <w:rPr>
          <w:rStyle w:val="Hyperlink"/>
          <w:rFonts w:ascii="Times New Roman" w:hAnsi="Times New Roman" w:cs="Times New Roman"/>
          <w:color w:val="000000" w:themeColor="text1"/>
          <w:sz w:val="24"/>
          <w:szCs w:val="24"/>
          <w:u w:val="none"/>
        </w:rPr>
        <w:t>High-achieving, socio-economically disadvantaged White boys.</w:t>
      </w:r>
    </w:p>
    <w:p w14:paraId="68910FBF" w14:textId="23DE480B" w:rsidR="00D7724A" w:rsidRPr="0081090C" w:rsidRDefault="00D7724A" w:rsidP="00D7724A">
      <w:pPr>
        <w:pStyle w:val="ListParagraph"/>
        <w:numPr>
          <w:ilvl w:val="0"/>
          <w:numId w:val="3"/>
        </w:numPr>
        <w:spacing w:line="360" w:lineRule="auto"/>
        <w:jc w:val="both"/>
        <w:rPr>
          <w:rStyle w:val="Hyperlink"/>
          <w:rFonts w:ascii="Times New Roman" w:hAnsi="Times New Roman" w:cs="Times New Roman"/>
          <w:color w:val="000000" w:themeColor="text1"/>
          <w:sz w:val="24"/>
          <w:szCs w:val="24"/>
          <w:u w:val="none"/>
        </w:rPr>
      </w:pPr>
      <w:r w:rsidRPr="0081090C">
        <w:rPr>
          <w:rStyle w:val="Hyperlink"/>
          <w:rFonts w:ascii="Times New Roman" w:hAnsi="Times New Roman" w:cs="Times New Roman"/>
          <w:color w:val="000000" w:themeColor="text1"/>
          <w:sz w:val="24"/>
          <w:szCs w:val="24"/>
          <w:u w:val="none"/>
        </w:rPr>
        <w:t>High-achieving, socio-economically disadvantaged White girls.</w:t>
      </w:r>
    </w:p>
    <w:p w14:paraId="06FF9D1F" w14:textId="3D863EBE" w:rsidR="00D7724A" w:rsidRPr="0081090C" w:rsidRDefault="00D7724A" w:rsidP="00D7724A">
      <w:pPr>
        <w:pStyle w:val="ListParagraph"/>
        <w:numPr>
          <w:ilvl w:val="0"/>
          <w:numId w:val="3"/>
        </w:numPr>
        <w:spacing w:line="360" w:lineRule="auto"/>
        <w:jc w:val="both"/>
        <w:rPr>
          <w:rStyle w:val="Hyperlink"/>
          <w:rFonts w:ascii="Times New Roman" w:hAnsi="Times New Roman" w:cs="Times New Roman"/>
          <w:color w:val="000000" w:themeColor="text1"/>
          <w:sz w:val="24"/>
          <w:szCs w:val="24"/>
          <w:u w:val="none"/>
        </w:rPr>
      </w:pPr>
      <w:r w:rsidRPr="0081090C">
        <w:rPr>
          <w:rStyle w:val="Hyperlink"/>
          <w:rFonts w:ascii="Times New Roman" w:hAnsi="Times New Roman" w:cs="Times New Roman"/>
          <w:color w:val="000000" w:themeColor="text1"/>
          <w:sz w:val="24"/>
          <w:szCs w:val="24"/>
          <w:u w:val="none"/>
        </w:rPr>
        <w:t>High-achieving, socio-economically disadvantaged Asian boys.</w:t>
      </w:r>
    </w:p>
    <w:p w14:paraId="5C779D73" w14:textId="7A1D4522" w:rsidR="00D7724A" w:rsidRPr="0081090C" w:rsidRDefault="00D7724A" w:rsidP="00D7724A">
      <w:pPr>
        <w:pStyle w:val="ListParagraph"/>
        <w:numPr>
          <w:ilvl w:val="0"/>
          <w:numId w:val="3"/>
        </w:numPr>
        <w:spacing w:line="360" w:lineRule="auto"/>
        <w:jc w:val="both"/>
        <w:rPr>
          <w:rStyle w:val="Hyperlink"/>
          <w:rFonts w:ascii="Times New Roman" w:hAnsi="Times New Roman" w:cs="Times New Roman"/>
          <w:color w:val="000000" w:themeColor="text1"/>
          <w:sz w:val="24"/>
          <w:szCs w:val="24"/>
          <w:u w:val="none"/>
        </w:rPr>
      </w:pPr>
      <w:r w:rsidRPr="0081090C">
        <w:rPr>
          <w:rStyle w:val="Hyperlink"/>
          <w:rFonts w:ascii="Times New Roman" w:hAnsi="Times New Roman" w:cs="Times New Roman"/>
          <w:color w:val="000000" w:themeColor="text1"/>
          <w:sz w:val="24"/>
          <w:szCs w:val="24"/>
          <w:u w:val="none"/>
        </w:rPr>
        <w:t>High-achieving, socio-economically disadvantaged Asian girls.</w:t>
      </w:r>
    </w:p>
    <w:p w14:paraId="7C6A325F" w14:textId="384CAD2E" w:rsidR="00D7724A" w:rsidRPr="0081090C" w:rsidRDefault="00D7724A" w:rsidP="00D7724A">
      <w:pPr>
        <w:pStyle w:val="ListParagraph"/>
        <w:numPr>
          <w:ilvl w:val="0"/>
          <w:numId w:val="3"/>
        </w:numPr>
        <w:spacing w:line="360" w:lineRule="auto"/>
        <w:jc w:val="both"/>
        <w:rPr>
          <w:rStyle w:val="Hyperlink"/>
          <w:rFonts w:ascii="Times New Roman" w:hAnsi="Times New Roman" w:cs="Times New Roman"/>
          <w:color w:val="000000" w:themeColor="text1"/>
          <w:sz w:val="24"/>
          <w:szCs w:val="24"/>
          <w:u w:val="none"/>
        </w:rPr>
      </w:pPr>
      <w:r w:rsidRPr="0081090C">
        <w:rPr>
          <w:rStyle w:val="Hyperlink"/>
          <w:rFonts w:ascii="Times New Roman" w:hAnsi="Times New Roman" w:cs="Times New Roman"/>
          <w:color w:val="000000" w:themeColor="text1"/>
          <w:sz w:val="24"/>
          <w:szCs w:val="24"/>
          <w:u w:val="none"/>
        </w:rPr>
        <w:t>High-achieving, socio-economically disadvantaged Black boys.</w:t>
      </w:r>
    </w:p>
    <w:p w14:paraId="6293D3FC" w14:textId="6472871E" w:rsidR="00D7724A" w:rsidRPr="0081090C" w:rsidRDefault="00D7724A" w:rsidP="00D7724A">
      <w:pPr>
        <w:pStyle w:val="ListParagraph"/>
        <w:numPr>
          <w:ilvl w:val="0"/>
          <w:numId w:val="3"/>
        </w:numPr>
        <w:spacing w:line="360" w:lineRule="auto"/>
        <w:jc w:val="both"/>
        <w:rPr>
          <w:rStyle w:val="Hyperlink"/>
          <w:rFonts w:ascii="Times New Roman" w:hAnsi="Times New Roman" w:cs="Times New Roman"/>
          <w:color w:val="000000" w:themeColor="text1"/>
          <w:sz w:val="24"/>
          <w:szCs w:val="24"/>
          <w:u w:val="none"/>
        </w:rPr>
      </w:pPr>
      <w:r w:rsidRPr="0081090C">
        <w:rPr>
          <w:rStyle w:val="Hyperlink"/>
          <w:rFonts w:ascii="Times New Roman" w:hAnsi="Times New Roman" w:cs="Times New Roman"/>
          <w:color w:val="000000" w:themeColor="text1"/>
          <w:sz w:val="24"/>
          <w:szCs w:val="24"/>
          <w:u w:val="none"/>
        </w:rPr>
        <w:t>High-achieving, socio-economically disadvantaged Black girls.</w:t>
      </w:r>
    </w:p>
    <w:p w14:paraId="792DD2E5" w14:textId="690D5268" w:rsidR="00D7724A" w:rsidRPr="0081090C" w:rsidRDefault="00D7724A" w:rsidP="00D7724A">
      <w:pPr>
        <w:pStyle w:val="ListParagraph"/>
        <w:numPr>
          <w:ilvl w:val="0"/>
          <w:numId w:val="3"/>
        </w:numPr>
        <w:spacing w:line="360" w:lineRule="auto"/>
        <w:jc w:val="both"/>
        <w:rPr>
          <w:rStyle w:val="Hyperlink"/>
          <w:rFonts w:ascii="Times New Roman" w:hAnsi="Times New Roman" w:cs="Times New Roman"/>
          <w:color w:val="000000" w:themeColor="text1"/>
          <w:sz w:val="24"/>
          <w:szCs w:val="24"/>
          <w:u w:val="none"/>
        </w:rPr>
      </w:pPr>
      <w:r w:rsidRPr="0081090C">
        <w:rPr>
          <w:rStyle w:val="Hyperlink"/>
          <w:rFonts w:ascii="Times New Roman" w:hAnsi="Times New Roman" w:cs="Times New Roman"/>
          <w:color w:val="000000" w:themeColor="text1"/>
          <w:sz w:val="24"/>
          <w:szCs w:val="24"/>
          <w:u w:val="none"/>
        </w:rPr>
        <w:t xml:space="preserve">High-achieving, socio-economically disadvantaged </w:t>
      </w:r>
      <w:r w:rsidR="005E7C30" w:rsidRPr="0081090C">
        <w:rPr>
          <w:rStyle w:val="Hyperlink"/>
          <w:rFonts w:ascii="Times New Roman" w:hAnsi="Times New Roman" w:cs="Times New Roman"/>
          <w:color w:val="000000" w:themeColor="text1"/>
          <w:sz w:val="24"/>
          <w:szCs w:val="24"/>
          <w:u w:val="none"/>
        </w:rPr>
        <w:t>Mixed-race</w:t>
      </w:r>
      <w:r w:rsidRPr="0081090C">
        <w:rPr>
          <w:rStyle w:val="Hyperlink"/>
          <w:rFonts w:ascii="Times New Roman" w:hAnsi="Times New Roman" w:cs="Times New Roman"/>
          <w:color w:val="000000" w:themeColor="text1"/>
          <w:sz w:val="24"/>
          <w:szCs w:val="24"/>
          <w:u w:val="none"/>
        </w:rPr>
        <w:t xml:space="preserve"> boys.</w:t>
      </w:r>
    </w:p>
    <w:p w14:paraId="32FF1912" w14:textId="1A0BA71C" w:rsidR="00D7724A" w:rsidRPr="0081090C" w:rsidRDefault="00D7724A" w:rsidP="00D7724A">
      <w:pPr>
        <w:pStyle w:val="ListParagraph"/>
        <w:numPr>
          <w:ilvl w:val="0"/>
          <w:numId w:val="3"/>
        </w:numPr>
        <w:spacing w:line="360" w:lineRule="auto"/>
        <w:jc w:val="both"/>
        <w:rPr>
          <w:rStyle w:val="Hyperlink"/>
          <w:rFonts w:ascii="Times New Roman" w:hAnsi="Times New Roman" w:cs="Times New Roman"/>
          <w:color w:val="000000" w:themeColor="text1"/>
          <w:sz w:val="24"/>
          <w:szCs w:val="24"/>
          <w:u w:val="none"/>
        </w:rPr>
      </w:pPr>
      <w:r w:rsidRPr="0081090C">
        <w:rPr>
          <w:rStyle w:val="Hyperlink"/>
          <w:rFonts w:ascii="Times New Roman" w:hAnsi="Times New Roman" w:cs="Times New Roman"/>
          <w:color w:val="000000" w:themeColor="text1"/>
          <w:sz w:val="24"/>
          <w:szCs w:val="24"/>
          <w:u w:val="none"/>
        </w:rPr>
        <w:t xml:space="preserve">High-achieving, socio-economically disadvantaged </w:t>
      </w:r>
      <w:r w:rsidR="005E7C30" w:rsidRPr="0081090C">
        <w:rPr>
          <w:rStyle w:val="Hyperlink"/>
          <w:rFonts w:ascii="Times New Roman" w:hAnsi="Times New Roman" w:cs="Times New Roman"/>
          <w:color w:val="000000" w:themeColor="text1"/>
          <w:sz w:val="24"/>
          <w:szCs w:val="24"/>
          <w:u w:val="none"/>
        </w:rPr>
        <w:t>Mixed-race</w:t>
      </w:r>
      <w:r w:rsidRPr="0081090C">
        <w:rPr>
          <w:rStyle w:val="Hyperlink"/>
          <w:rFonts w:ascii="Times New Roman" w:hAnsi="Times New Roman" w:cs="Times New Roman"/>
          <w:color w:val="000000" w:themeColor="text1"/>
          <w:sz w:val="24"/>
          <w:szCs w:val="24"/>
          <w:u w:val="none"/>
        </w:rPr>
        <w:t xml:space="preserve"> girls.</w:t>
      </w:r>
    </w:p>
    <w:p w14:paraId="6E9DF032" w14:textId="63D8D846" w:rsidR="00D7724A" w:rsidRPr="0081090C" w:rsidRDefault="005E7C30" w:rsidP="00D43E64">
      <w:pPr>
        <w:spacing w:line="360" w:lineRule="auto"/>
        <w:jc w:val="both"/>
        <w:rPr>
          <w:rStyle w:val="Hyperlink"/>
          <w:rFonts w:ascii="Times New Roman" w:hAnsi="Times New Roman" w:cs="Times New Roman"/>
          <w:color w:val="000000" w:themeColor="text1"/>
          <w:sz w:val="24"/>
          <w:szCs w:val="24"/>
          <w:u w:val="none"/>
        </w:rPr>
      </w:pPr>
      <w:r w:rsidRPr="0081090C">
        <w:rPr>
          <w:rStyle w:val="Hyperlink"/>
          <w:rFonts w:ascii="Times New Roman" w:hAnsi="Times New Roman" w:cs="Times New Roman"/>
          <w:color w:val="000000" w:themeColor="text1"/>
          <w:sz w:val="24"/>
          <w:szCs w:val="24"/>
          <w:u w:val="none"/>
        </w:rPr>
        <w:lastRenderedPageBreak/>
        <w:t xml:space="preserve">This will be done in two ways. First, analogous descriptive statistics will be presented for some </w:t>
      </w:r>
      <w:r w:rsidR="008C75EC" w:rsidRPr="0081090C">
        <w:rPr>
          <w:rStyle w:val="Hyperlink"/>
          <w:rFonts w:ascii="Times New Roman" w:hAnsi="Times New Roman" w:cs="Times New Roman"/>
          <w:color w:val="000000" w:themeColor="text1"/>
          <w:sz w:val="24"/>
          <w:szCs w:val="24"/>
          <w:u w:val="none"/>
        </w:rPr>
        <w:t>of these sub-groups (as sample sizes allow)</w:t>
      </w:r>
      <w:r w:rsidR="003D37C7" w:rsidRPr="0081090C">
        <w:rPr>
          <w:rStyle w:val="Hyperlink"/>
          <w:rFonts w:ascii="Times New Roman" w:hAnsi="Times New Roman" w:cs="Times New Roman"/>
          <w:color w:val="000000" w:themeColor="text1"/>
          <w:sz w:val="24"/>
          <w:szCs w:val="24"/>
          <w:u w:val="none"/>
        </w:rPr>
        <w:t>. Second, we will estimate regression models of the form:</w:t>
      </w:r>
    </w:p>
    <w:p w14:paraId="60975B7C" w14:textId="31331EDE" w:rsidR="003D37C7" w:rsidRPr="0081090C" w:rsidRDefault="00000000" w:rsidP="00D43E64">
      <w:pPr>
        <w:spacing w:line="360" w:lineRule="auto"/>
        <w:jc w:val="both"/>
        <w:rPr>
          <w:rStyle w:val="Hyperlink"/>
          <w:rFonts w:ascii="Times New Roman" w:hAnsi="Times New Roman" w:cs="Times New Roman"/>
          <w:color w:val="000000" w:themeColor="text1"/>
          <w:sz w:val="24"/>
          <w:szCs w:val="24"/>
          <w:u w:val="none"/>
        </w:rPr>
      </w:pP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O</m:t>
            </m:r>
          </m:e>
          <m:sub>
            <m:r>
              <w:rPr>
                <w:rStyle w:val="Hyperlink"/>
                <w:rFonts w:ascii="Cambria Math" w:hAnsi="Cambria Math" w:cs="Times New Roman"/>
                <w:color w:val="000000" w:themeColor="text1"/>
                <w:sz w:val="24"/>
                <w:szCs w:val="24"/>
                <w:u w:val="none"/>
              </w:rPr>
              <m:t>i</m:t>
            </m:r>
          </m:sub>
        </m:sSub>
        <m:r>
          <w:rPr>
            <w:rStyle w:val="Hyperlink"/>
            <w:rFonts w:ascii="Cambria Math" w:eastAsiaTheme="minorEastAsia" w:hAnsi="Cambria Math" w:cs="Times New Roman"/>
            <w:color w:val="000000" w:themeColor="text1"/>
            <w:sz w:val="24"/>
            <w:szCs w:val="24"/>
            <w:u w:val="none"/>
          </w:rPr>
          <m:t>= α+ β.</m:t>
        </m:r>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Grp</m:t>
            </m:r>
          </m:e>
          <m:sub>
            <m:r>
              <w:rPr>
                <w:rStyle w:val="Hyperlink"/>
                <w:rFonts w:ascii="Cambria Math" w:hAnsi="Cambria Math" w:cs="Times New Roman"/>
                <w:color w:val="000000" w:themeColor="text1"/>
                <w:sz w:val="24"/>
                <w:szCs w:val="24"/>
                <w:u w:val="none"/>
              </w:rPr>
              <m:t>i</m:t>
            </m:r>
          </m:sub>
        </m:sSub>
        <m:r>
          <w:rPr>
            <w:rStyle w:val="Hyperlink"/>
            <w:rFonts w:ascii="Cambria Math" w:hAnsi="Cambria Math" w:cs="Times New Roman"/>
            <w:color w:val="000000" w:themeColor="text1"/>
            <w:sz w:val="24"/>
            <w:szCs w:val="24"/>
            <w:u w:val="none"/>
          </w:rPr>
          <m:t>+φ.</m:t>
        </m:r>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Ach</m:t>
            </m:r>
          </m:e>
          <m:sub>
            <m:r>
              <w:rPr>
                <w:rStyle w:val="Hyperlink"/>
                <w:rFonts w:ascii="Cambria Math" w:hAnsi="Cambria Math" w:cs="Times New Roman"/>
                <w:color w:val="000000" w:themeColor="text1"/>
                <w:sz w:val="24"/>
                <w:szCs w:val="24"/>
                <w:u w:val="none"/>
              </w:rPr>
              <m:t>i</m:t>
            </m:r>
          </m:sub>
        </m:sSub>
        <m:r>
          <w:rPr>
            <w:rStyle w:val="Hyperlink"/>
            <w:rFonts w:ascii="Cambria Math" w:hAnsi="Cambria Math" w:cs="Times New Roman"/>
            <w:color w:val="000000" w:themeColor="text1"/>
            <w:sz w:val="24"/>
            <w:szCs w:val="24"/>
            <w:u w:val="none"/>
          </w:rPr>
          <m:t>+∅.</m:t>
        </m:r>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Cohort</m:t>
            </m:r>
          </m:e>
          <m:sub>
            <m:r>
              <w:rPr>
                <w:rStyle w:val="Hyperlink"/>
                <w:rFonts w:ascii="Cambria Math" w:hAnsi="Cambria Math" w:cs="Times New Roman"/>
                <w:color w:val="000000" w:themeColor="text1"/>
                <w:sz w:val="24"/>
                <w:szCs w:val="24"/>
                <w:u w:val="none"/>
              </w:rPr>
              <m:t>i</m:t>
            </m:r>
          </m:sub>
        </m:sSub>
        <m:r>
          <w:rPr>
            <w:rStyle w:val="Hyperlink"/>
            <w:rFonts w:ascii="Cambria Math" w:hAnsi="Cambria Math" w:cs="Times New Roman"/>
            <w:color w:val="000000" w:themeColor="text1"/>
            <w:sz w:val="24"/>
            <w:szCs w:val="24"/>
            <w:u w:val="none"/>
          </w:rPr>
          <m:t>+θ.</m:t>
        </m:r>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ABS_Prior</m:t>
            </m:r>
          </m:e>
          <m:sub>
            <m:r>
              <w:rPr>
                <w:rStyle w:val="Hyperlink"/>
                <w:rFonts w:ascii="Cambria Math" w:hAnsi="Cambria Math" w:cs="Times New Roman"/>
                <w:color w:val="000000" w:themeColor="text1"/>
                <w:sz w:val="24"/>
                <w:szCs w:val="24"/>
                <w:u w:val="none"/>
              </w:rPr>
              <m:t>i</m:t>
            </m:r>
          </m:sub>
        </m:sSub>
        <m:r>
          <w:rPr>
            <w:rStyle w:val="Hyperlink"/>
            <w:rFonts w:ascii="Cambria Math" w:hAnsi="Cambria Math" w:cs="Times New Roman"/>
            <w:color w:val="000000" w:themeColor="text1"/>
            <w:sz w:val="24"/>
            <w:szCs w:val="24"/>
            <w:u w:val="none"/>
          </w:rPr>
          <m:t>+</m:t>
        </m:r>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ε</m:t>
            </m:r>
          </m:e>
          <m:sub>
            <m:r>
              <w:rPr>
                <w:rStyle w:val="Hyperlink"/>
                <w:rFonts w:ascii="Cambria Math" w:hAnsi="Cambria Math" w:cs="Times New Roman"/>
                <w:color w:val="000000" w:themeColor="text1"/>
                <w:sz w:val="24"/>
                <w:szCs w:val="24"/>
                <w:u w:val="none"/>
              </w:rPr>
              <m:t>i</m:t>
            </m:r>
          </m:sub>
        </m:sSub>
      </m:oMath>
      <w:r w:rsidR="00E55819" w:rsidRPr="0081090C">
        <w:rPr>
          <w:rStyle w:val="Hyperlink"/>
          <w:rFonts w:ascii="Times New Roman" w:eastAsiaTheme="minorEastAsia" w:hAnsi="Times New Roman" w:cs="Times New Roman"/>
          <w:color w:val="000000" w:themeColor="text1"/>
          <w:sz w:val="24"/>
          <w:szCs w:val="24"/>
          <w:u w:val="none"/>
        </w:rPr>
        <w:tab/>
      </w:r>
      <w:r w:rsidR="00E55819" w:rsidRPr="0081090C">
        <w:rPr>
          <w:rStyle w:val="Hyperlink"/>
          <w:rFonts w:ascii="Times New Roman" w:eastAsiaTheme="minorEastAsia" w:hAnsi="Times New Roman" w:cs="Times New Roman"/>
          <w:color w:val="000000" w:themeColor="text1"/>
          <w:sz w:val="24"/>
          <w:szCs w:val="24"/>
          <w:u w:val="none"/>
        </w:rPr>
        <w:tab/>
        <w:t>(1)</w:t>
      </w:r>
    </w:p>
    <w:p w14:paraId="6449DA29" w14:textId="3BED7D77" w:rsidR="00340989" w:rsidRPr="0081090C" w:rsidRDefault="00E55819" w:rsidP="00D43E64">
      <w:pPr>
        <w:spacing w:line="360" w:lineRule="auto"/>
        <w:jc w:val="both"/>
        <w:rPr>
          <w:rStyle w:val="Hyperlink"/>
          <w:rFonts w:ascii="Times New Roman" w:hAnsi="Times New Roman" w:cs="Times New Roman"/>
          <w:color w:val="000000" w:themeColor="text1"/>
          <w:sz w:val="24"/>
          <w:szCs w:val="24"/>
          <w:u w:val="none"/>
        </w:rPr>
      </w:pPr>
      <w:r w:rsidRPr="0081090C">
        <w:rPr>
          <w:rStyle w:val="Hyperlink"/>
          <w:rFonts w:ascii="Times New Roman" w:hAnsi="Times New Roman" w:cs="Times New Roman"/>
          <w:color w:val="000000" w:themeColor="text1"/>
          <w:sz w:val="24"/>
          <w:szCs w:val="24"/>
          <w:u w:val="none"/>
        </w:rPr>
        <w:t>Where:</w:t>
      </w:r>
    </w:p>
    <w:p w14:paraId="2773CD49" w14:textId="47251226" w:rsidR="00E55819" w:rsidRPr="0081090C" w:rsidRDefault="00000000" w:rsidP="00D43E64">
      <w:pPr>
        <w:spacing w:line="360" w:lineRule="auto"/>
        <w:jc w:val="both"/>
        <w:rPr>
          <w:rStyle w:val="Hyperlink"/>
          <w:rFonts w:ascii="Times New Roman" w:eastAsiaTheme="minorEastAsia" w:hAnsi="Times New Roman" w:cs="Times New Roman"/>
          <w:color w:val="000000" w:themeColor="text1"/>
          <w:sz w:val="24"/>
          <w:szCs w:val="24"/>
          <w:u w:val="none"/>
        </w:rPr>
      </w:pP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O</m:t>
            </m:r>
          </m:e>
          <m:sub>
            <m:r>
              <w:rPr>
                <w:rStyle w:val="Hyperlink"/>
                <w:rFonts w:ascii="Cambria Math" w:hAnsi="Cambria Math" w:cs="Times New Roman"/>
                <w:color w:val="000000" w:themeColor="text1"/>
                <w:sz w:val="24"/>
                <w:szCs w:val="24"/>
                <w:u w:val="none"/>
              </w:rPr>
              <m:t>i</m:t>
            </m:r>
          </m:sub>
        </m:sSub>
      </m:oMath>
      <w:r w:rsidR="00E55819" w:rsidRPr="0081090C">
        <w:rPr>
          <w:rStyle w:val="Hyperlink"/>
          <w:rFonts w:ascii="Times New Roman" w:eastAsiaTheme="minorEastAsia" w:hAnsi="Times New Roman" w:cs="Times New Roman"/>
          <w:color w:val="000000" w:themeColor="text1"/>
          <w:sz w:val="24"/>
          <w:szCs w:val="24"/>
          <w:u w:val="none"/>
        </w:rPr>
        <w:t xml:space="preserve"> = One of our outcomes of interest.</w:t>
      </w:r>
    </w:p>
    <w:p w14:paraId="5B19DEE7" w14:textId="36CDF36E" w:rsidR="00E55819" w:rsidRPr="0081090C" w:rsidRDefault="00000000" w:rsidP="00D43E64">
      <w:pPr>
        <w:spacing w:line="360" w:lineRule="auto"/>
        <w:jc w:val="both"/>
        <w:rPr>
          <w:rStyle w:val="Hyperlink"/>
          <w:rFonts w:ascii="Times New Roman" w:eastAsiaTheme="minorEastAsia" w:hAnsi="Times New Roman" w:cs="Times New Roman"/>
          <w:color w:val="000000" w:themeColor="text1"/>
          <w:sz w:val="24"/>
          <w:szCs w:val="24"/>
          <w:u w:val="none"/>
        </w:rPr>
      </w:pP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Grp</m:t>
            </m:r>
          </m:e>
          <m:sub>
            <m:r>
              <w:rPr>
                <w:rStyle w:val="Hyperlink"/>
                <w:rFonts w:ascii="Cambria Math" w:hAnsi="Cambria Math" w:cs="Times New Roman"/>
                <w:color w:val="000000" w:themeColor="text1"/>
                <w:sz w:val="24"/>
                <w:szCs w:val="24"/>
                <w:u w:val="none"/>
              </w:rPr>
              <m:t>i</m:t>
            </m:r>
          </m:sub>
        </m:sSub>
      </m:oMath>
      <w:r w:rsidR="00E55819" w:rsidRPr="0081090C">
        <w:rPr>
          <w:rStyle w:val="Hyperlink"/>
          <w:rFonts w:ascii="Times New Roman" w:eastAsiaTheme="minorEastAsia" w:hAnsi="Times New Roman" w:cs="Times New Roman"/>
          <w:color w:val="000000" w:themeColor="text1"/>
          <w:sz w:val="24"/>
          <w:szCs w:val="24"/>
          <w:u w:val="none"/>
        </w:rPr>
        <w:t xml:space="preserve"> = A vector of dummy variables capturing each of the high-achieving </w:t>
      </w:r>
      <w:r w:rsidR="00EE3DF5" w:rsidRPr="0081090C">
        <w:rPr>
          <w:rStyle w:val="Hyperlink"/>
          <w:rFonts w:ascii="Times New Roman" w:eastAsiaTheme="minorEastAsia" w:hAnsi="Times New Roman" w:cs="Times New Roman"/>
          <w:color w:val="000000" w:themeColor="text1"/>
          <w:sz w:val="24"/>
          <w:szCs w:val="24"/>
          <w:u w:val="none"/>
        </w:rPr>
        <w:t>disadvantaged</w:t>
      </w:r>
      <w:r w:rsidR="00E55819" w:rsidRPr="0081090C">
        <w:rPr>
          <w:rStyle w:val="Hyperlink"/>
          <w:rFonts w:ascii="Times New Roman" w:eastAsiaTheme="minorEastAsia" w:hAnsi="Times New Roman" w:cs="Times New Roman"/>
          <w:color w:val="000000" w:themeColor="text1"/>
          <w:sz w:val="24"/>
          <w:szCs w:val="24"/>
          <w:u w:val="none"/>
        </w:rPr>
        <w:t xml:space="preserve"> sub</w:t>
      </w:r>
      <w:r w:rsidR="00EE3DF5" w:rsidRPr="0081090C">
        <w:rPr>
          <w:rStyle w:val="Hyperlink"/>
          <w:rFonts w:ascii="Times New Roman" w:eastAsiaTheme="minorEastAsia" w:hAnsi="Times New Roman" w:cs="Times New Roman"/>
          <w:color w:val="000000" w:themeColor="text1"/>
          <w:sz w:val="24"/>
          <w:szCs w:val="24"/>
          <w:u w:val="none"/>
        </w:rPr>
        <w:t>-groups listed above.</w:t>
      </w:r>
    </w:p>
    <w:p w14:paraId="11B89F3A" w14:textId="0470915E" w:rsidR="004809EF" w:rsidRPr="0081090C" w:rsidRDefault="00000000" w:rsidP="00D43E64">
      <w:pPr>
        <w:spacing w:line="360" w:lineRule="auto"/>
        <w:jc w:val="both"/>
        <w:rPr>
          <w:rStyle w:val="Hyperlink"/>
          <w:rFonts w:ascii="Times New Roman" w:eastAsiaTheme="minorEastAsia" w:hAnsi="Times New Roman" w:cs="Times New Roman"/>
          <w:color w:val="000000" w:themeColor="text1"/>
          <w:sz w:val="24"/>
          <w:szCs w:val="24"/>
          <w:u w:val="none"/>
        </w:rPr>
      </w:pP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Ach</m:t>
            </m:r>
          </m:e>
          <m:sub>
            <m:r>
              <w:rPr>
                <w:rStyle w:val="Hyperlink"/>
                <w:rFonts w:ascii="Cambria Math" w:hAnsi="Cambria Math" w:cs="Times New Roman"/>
                <w:color w:val="000000" w:themeColor="text1"/>
                <w:sz w:val="24"/>
                <w:szCs w:val="24"/>
                <w:u w:val="none"/>
              </w:rPr>
              <m:t>i</m:t>
            </m:r>
          </m:sub>
        </m:sSub>
      </m:oMath>
      <w:r w:rsidR="004809EF" w:rsidRPr="0081090C">
        <w:rPr>
          <w:rStyle w:val="Hyperlink"/>
          <w:rFonts w:ascii="Times New Roman" w:eastAsiaTheme="minorEastAsia" w:hAnsi="Times New Roman" w:cs="Times New Roman"/>
          <w:color w:val="000000" w:themeColor="text1"/>
          <w:sz w:val="24"/>
          <w:szCs w:val="24"/>
          <w:u w:val="none"/>
        </w:rPr>
        <w:t xml:space="preserve"> = A vector of academic achievement measures at primary school, including Key Stage 1 and Key Stage 2 reading and mathematics test scores. </w:t>
      </w:r>
    </w:p>
    <w:p w14:paraId="765780A1" w14:textId="4C4EDE99" w:rsidR="00EE3DF5" w:rsidRPr="0081090C" w:rsidRDefault="00000000" w:rsidP="00D43E64">
      <w:pPr>
        <w:spacing w:line="360" w:lineRule="auto"/>
        <w:jc w:val="both"/>
        <w:rPr>
          <w:rStyle w:val="Hyperlink"/>
          <w:rFonts w:ascii="Times New Roman" w:eastAsiaTheme="minorEastAsia" w:hAnsi="Times New Roman" w:cs="Times New Roman"/>
          <w:color w:val="000000" w:themeColor="text1"/>
          <w:sz w:val="24"/>
          <w:szCs w:val="24"/>
          <w:u w:val="none"/>
        </w:rPr>
      </w:pP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Cohort</m:t>
            </m:r>
          </m:e>
          <m:sub>
            <m:r>
              <w:rPr>
                <w:rStyle w:val="Hyperlink"/>
                <w:rFonts w:ascii="Cambria Math" w:hAnsi="Cambria Math" w:cs="Times New Roman"/>
                <w:color w:val="000000" w:themeColor="text1"/>
                <w:sz w:val="24"/>
                <w:szCs w:val="24"/>
                <w:u w:val="none"/>
              </w:rPr>
              <m:t>i</m:t>
            </m:r>
          </m:sub>
        </m:sSub>
      </m:oMath>
      <w:r w:rsidR="00EE3DF5" w:rsidRPr="0081090C">
        <w:rPr>
          <w:rStyle w:val="Hyperlink"/>
          <w:rFonts w:ascii="Times New Roman" w:eastAsiaTheme="minorEastAsia" w:hAnsi="Times New Roman" w:cs="Times New Roman"/>
          <w:color w:val="000000" w:themeColor="text1"/>
          <w:sz w:val="24"/>
          <w:szCs w:val="24"/>
          <w:u w:val="none"/>
        </w:rPr>
        <w:t xml:space="preserve"> = A vector of dummy variables reflecting the cohort</w:t>
      </w:r>
      <w:r w:rsidR="008C5F61" w:rsidRPr="0081090C">
        <w:rPr>
          <w:rStyle w:val="Hyperlink"/>
          <w:rFonts w:ascii="Times New Roman" w:eastAsiaTheme="minorEastAsia" w:hAnsi="Times New Roman" w:cs="Times New Roman"/>
          <w:color w:val="000000" w:themeColor="text1"/>
          <w:sz w:val="24"/>
          <w:szCs w:val="24"/>
          <w:u w:val="none"/>
        </w:rPr>
        <w:t>.</w:t>
      </w:r>
    </w:p>
    <w:p w14:paraId="0D8C8D7F" w14:textId="305E6B78" w:rsidR="008C5F61" w:rsidRPr="0081090C" w:rsidRDefault="00000000" w:rsidP="00D43E64">
      <w:pPr>
        <w:spacing w:line="360" w:lineRule="auto"/>
        <w:jc w:val="both"/>
        <w:rPr>
          <w:rStyle w:val="Hyperlink"/>
          <w:rFonts w:ascii="Times New Roman" w:hAnsi="Times New Roman" w:cs="Times New Roman"/>
          <w:color w:val="000000" w:themeColor="text1"/>
          <w:sz w:val="24"/>
          <w:szCs w:val="24"/>
          <w:u w:val="none"/>
        </w:rPr>
      </w:pP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ABS_Prior</m:t>
            </m:r>
          </m:e>
          <m:sub>
            <m:r>
              <w:rPr>
                <w:rStyle w:val="Hyperlink"/>
                <w:rFonts w:ascii="Cambria Math" w:hAnsi="Cambria Math" w:cs="Times New Roman"/>
                <w:color w:val="000000" w:themeColor="text1"/>
                <w:sz w:val="24"/>
                <w:szCs w:val="24"/>
                <w:u w:val="none"/>
              </w:rPr>
              <m:t>i</m:t>
            </m:r>
          </m:sub>
        </m:sSub>
      </m:oMath>
      <w:r w:rsidR="008C5F61" w:rsidRPr="00435F1F">
        <w:rPr>
          <w:rStyle w:val="Hyperlink"/>
          <w:rFonts w:ascii="Times New Roman" w:eastAsiaTheme="minorEastAsia" w:hAnsi="Times New Roman" w:cs="Times New Roman"/>
          <w:color w:val="000000" w:themeColor="text1"/>
          <w:sz w:val="24"/>
          <w:szCs w:val="24"/>
          <w:u w:val="none"/>
        </w:rPr>
        <w:t xml:space="preserve"> =</w:t>
      </w:r>
      <w:r w:rsidR="008C5F61" w:rsidRPr="0081090C">
        <w:rPr>
          <w:rStyle w:val="Hyperlink"/>
          <w:rFonts w:ascii="Times New Roman" w:eastAsiaTheme="minorEastAsia" w:hAnsi="Times New Roman" w:cs="Times New Roman"/>
          <w:color w:val="000000" w:themeColor="text1"/>
          <w:sz w:val="24"/>
          <w:szCs w:val="24"/>
          <w:u w:val="none"/>
        </w:rPr>
        <w:t xml:space="preserve"> </w:t>
      </w:r>
      <w:r w:rsidR="00435F1F">
        <w:rPr>
          <w:rStyle w:val="CommentReference"/>
          <w:rFonts w:ascii="Times New Roman" w:hAnsi="Times New Roman" w:cs="Times New Roman"/>
          <w:sz w:val="24"/>
          <w:szCs w:val="24"/>
        </w:rPr>
        <w:t>A</w:t>
      </w:r>
      <w:r w:rsidR="008C5F61" w:rsidRPr="0081090C">
        <w:rPr>
          <w:rStyle w:val="Hyperlink"/>
          <w:rFonts w:ascii="Times New Roman" w:eastAsiaTheme="minorEastAsia" w:hAnsi="Times New Roman" w:cs="Times New Roman"/>
          <w:color w:val="000000" w:themeColor="text1"/>
          <w:sz w:val="24"/>
          <w:szCs w:val="24"/>
          <w:u w:val="none"/>
        </w:rPr>
        <w:t>ttendance during primary school</w:t>
      </w:r>
      <w:r w:rsidR="00502463">
        <w:rPr>
          <w:rStyle w:val="Hyperlink"/>
          <w:rFonts w:ascii="Times New Roman" w:eastAsiaTheme="minorEastAsia" w:hAnsi="Times New Roman" w:cs="Times New Roman"/>
          <w:color w:val="000000" w:themeColor="text1"/>
          <w:sz w:val="24"/>
          <w:szCs w:val="24"/>
          <w:u w:val="none"/>
        </w:rPr>
        <w:t xml:space="preserve"> or at the start of secondary school</w:t>
      </w:r>
      <w:r w:rsidR="00B62DF8" w:rsidRPr="0081090C">
        <w:rPr>
          <w:rStyle w:val="Hyperlink"/>
          <w:rFonts w:ascii="Times New Roman" w:eastAsiaTheme="minorEastAsia" w:hAnsi="Times New Roman" w:cs="Times New Roman"/>
          <w:color w:val="000000" w:themeColor="text1"/>
          <w:sz w:val="24"/>
          <w:szCs w:val="24"/>
          <w:u w:val="none"/>
        </w:rPr>
        <w:t>.</w:t>
      </w:r>
    </w:p>
    <w:p w14:paraId="68B35692" w14:textId="6E26884E" w:rsidR="00987A60" w:rsidRPr="0081090C" w:rsidRDefault="00000000" w:rsidP="009C01AD">
      <w:pPr>
        <w:rPr>
          <w:rStyle w:val="Hyperlink"/>
          <w:rFonts w:ascii="Times New Roman" w:eastAsiaTheme="minorEastAsia" w:hAnsi="Times New Roman" w:cs="Times New Roman"/>
          <w:color w:val="000000" w:themeColor="text1"/>
          <w:sz w:val="24"/>
          <w:szCs w:val="24"/>
          <w:u w:val="none"/>
        </w:rPr>
      </w:pP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ε</m:t>
            </m:r>
          </m:e>
          <m:sub>
            <m:r>
              <w:rPr>
                <w:rStyle w:val="Hyperlink"/>
                <w:rFonts w:ascii="Cambria Math" w:hAnsi="Cambria Math" w:cs="Times New Roman"/>
                <w:color w:val="000000" w:themeColor="text1"/>
                <w:sz w:val="24"/>
                <w:szCs w:val="24"/>
                <w:u w:val="none"/>
              </w:rPr>
              <m:t>i</m:t>
            </m:r>
          </m:sub>
        </m:sSub>
      </m:oMath>
      <w:r w:rsidR="00B62DF8" w:rsidRPr="0081090C">
        <w:rPr>
          <w:rStyle w:val="Hyperlink"/>
          <w:rFonts w:ascii="Times New Roman" w:eastAsiaTheme="minorEastAsia" w:hAnsi="Times New Roman" w:cs="Times New Roman"/>
          <w:color w:val="000000" w:themeColor="text1"/>
          <w:sz w:val="24"/>
          <w:szCs w:val="24"/>
          <w:u w:val="none"/>
        </w:rPr>
        <w:t xml:space="preserve"> = Random error term.</w:t>
      </w:r>
    </w:p>
    <w:p w14:paraId="001C6356" w14:textId="2D70986D" w:rsidR="00B62DF8" w:rsidRPr="0081090C" w:rsidRDefault="00B62DF8" w:rsidP="009C01AD">
      <w:pPr>
        <w:rPr>
          <w:rStyle w:val="Hyperlink"/>
          <w:rFonts w:ascii="Times New Roman" w:eastAsiaTheme="minorEastAsia" w:hAnsi="Times New Roman" w:cs="Times New Roman"/>
          <w:color w:val="000000" w:themeColor="text1"/>
          <w:sz w:val="24"/>
          <w:szCs w:val="24"/>
          <w:u w:val="none"/>
        </w:rPr>
      </w:pPr>
      <w:r w:rsidRPr="0081090C">
        <w:rPr>
          <w:rStyle w:val="Hyperlink"/>
          <w:rFonts w:ascii="Times New Roman" w:eastAsiaTheme="minorEastAsia" w:hAnsi="Times New Roman" w:cs="Times New Roman"/>
          <w:color w:val="000000" w:themeColor="text1"/>
          <w:sz w:val="24"/>
          <w:szCs w:val="24"/>
          <w:u w:val="none"/>
        </w:rPr>
        <w:t>i = Individual i.</w:t>
      </w:r>
    </w:p>
    <w:p w14:paraId="7B4ED386" w14:textId="072FBD2D" w:rsidR="00B62DF8" w:rsidRPr="0081090C" w:rsidRDefault="00B62DF8" w:rsidP="00B62DF8">
      <w:pPr>
        <w:spacing w:line="360" w:lineRule="auto"/>
        <w:jc w:val="both"/>
        <w:rPr>
          <w:rStyle w:val="Hyperlink"/>
          <w:rFonts w:ascii="Times New Roman" w:eastAsiaTheme="minorEastAsia" w:hAnsi="Times New Roman" w:cs="Times New Roman"/>
          <w:color w:val="000000" w:themeColor="text1"/>
          <w:sz w:val="24"/>
          <w:szCs w:val="24"/>
          <w:u w:val="none"/>
        </w:rPr>
      </w:pPr>
      <w:r w:rsidRPr="0081090C">
        <w:rPr>
          <w:rStyle w:val="Hyperlink"/>
          <w:rFonts w:ascii="Times New Roman" w:eastAsiaTheme="minorEastAsia" w:hAnsi="Times New Roman" w:cs="Times New Roman"/>
          <w:color w:val="000000" w:themeColor="text1"/>
          <w:sz w:val="24"/>
          <w:szCs w:val="24"/>
          <w:u w:val="none"/>
        </w:rPr>
        <w:t>Linear regression will be used for continuous outcomes (school absences) and logistic regression used for binary outcomes (exclusions; crim</w:t>
      </w:r>
      <w:r w:rsidR="00D33D43">
        <w:rPr>
          <w:rStyle w:val="Hyperlink"/>
          <w:rFonts w:ascii="Times New Roman" w:eastAsiaTheme="minorEastAsia" w:hAnsi="Times New Roman" w:cs="Times New Roman"/>
          <w:color w:val="000000" w:themeColor="text1"/>
          <w:sz w:val="24"/>
          <w:szCs w:val="24"/>
          <w:u w:val="none"/>
        </w:rPr>
        <w:t>inal cautions/sentences</w:t>
      </w:r>
      <w:r w:rsidRPr="0081090C">
        <w:rPr>
          <w:rStyle w:val="Hyperlink"/>
          <w:rFonts w:ascii="Times New Roman" w:eastAsiaTheme="minorEastAsia" w:hAnsi="Times New Roman" w:cs="Times New Roman"/>
          <w:color w:val="000000" w:themeColor="text1"/>
          <w:sz w:val="24"/>
          <w:szCs w:val="24"/>
          <w:u w:val="none"/>
        </w:rPr>
        <w:t>). When estimating these models, the respective outcomes (</w:t>
      </w: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O</m:t>
            </m:r>
          </m:e>
          <m:sub>
            <m:r>
              <w:rPr>
                <w:rStyle w:val="Hyperlink"/>
                <w:rFonts w:ascii="Cambria Math" w:hAnsi="Cambria Math" w:cs="Times New Roman"/>
                <w:color w:val="000000" w:themeColor="text1"/>
                <w:sz w:val="24"/>
                <w:szCs w:val="24"/>
                <w:u w:val="none"/>
              </w:rPr>
              <m:t>i</m:t>
            </m:r>
          </m:sub>
        </m:sSub>
      </m:oMath>
      <w:r w:rsidRPr="0081090C">
        <w:rPr>
          <w:rStyle w:val="Hyperlink"/>
          <w:rFonts w:ascii="Times New Roman" w:eastAsiaTheme="minorEastAsia" w:hAnsi="Times New Roman" w:cs="Times New Roman"/>
          <w:color w:val="000000" w:themeColor="text1"/>
          <w:sz w:val="24"/>
          <w:szCs w:val="24"/>
          <w:u w:val="none"/>
        </w:rPr>
        <w:t>) will be</w:t>
      </w:r>
      <w:r w:rsidR="00E84E95" w:rsidRPr="0081090C">
        <w:rPr>
          <w:rStyle w:val="Hyperlink"/>
          <w:rFonts w:ascii="Times New Roman" w:eastAsiaTheme="minorEastAsia" w:hAnsi="Times New Roman" w:cs="Times New Roman"/>
          <w:color w:val="000000" w:themeColor="text1"/>
          <w:sz w:val="24"/>
          <w:szCs w:val="24"/>
          <w:u w:val="none"/>
        </w:rPr>
        <w:t xml:space="preserve"> defined as the average (absences) or any incidence (exclusion; crim</w:t>
      </w:r>
      <w:r w:rsidR="00D33D43">
        <w:rPr>
          <w:rStyle w:val="Hyperlink"/>
          <w:rFonts w:ascii="Times New Roman" w:eastAsiaTheme="minorEastAsia" w:hAnsi="Times New Roman" w:cs="Times New Roman"/>
          <w:color w:val="000000" w:themeColor="text1"/>
          <w:sz w:val="24"/>
          <w:szCs w:val="24"/>
          <w:u w:val="none"/>
        </w:rPr>
        <w:t>inal cautions/sentences</w:t>
      </w:r>
      <w:r w:rsidR="00E84E95" w:rsidRPr="0081090C">
        <w:rPr>
          <w:rStyle w:val="Hyperlink"/>
          <w:rFonts w:ascii="Times New Roman" w:eastAsiaTheme="minorEastAsia" w:hAnsi="Times New Roman" w:cs="Times New Roman"/>
          <w:color w:val="000000" w:themeColor="text1"/>
          <w:sz w:val="24"/>
          <w:szCs w:val="24"/>
          <w:u w:val="none"/>
        </w:rPr>
        <w:t xml:space="preserve">) recorded </w:t>
      </w:r>
      <w:r w:rsidR="00AE08C4">
        <w:rPr>
          <w:rStyle w:val="Hyperlink"/>
          <w:rFonts w:ascii="Times New Roman" w:eastAsiaTheme="minorEastAsia" w:hAnsi="Times New Roman" w:cs="Times New Roman"/>
          <w:color w:val="000000" w:themeColor="text1"/>
          <w:sz w:val="24"/>
          <w:szCs w:val="24"/>
          <w:u w:val="none"/>
        </w:rPr>
        <w:t>within a given</w:t>
      </w:r>
      <w:r w:rsidR="00E84E95" w:rsidRPr="0081090C">
        <w:rPr>
          <w:rStyle w:val="Hyperlink"/>
          <w:rFonts w:ascii="Times New Roman" w:eastAsiaTheme="minorEastAsia" w:hAnsi="Times New Roman" w:cs="Times New Roman"/>
          <w:color w:val="000000" w:themeColor="text1"/>
          <w:sz w:val="24"/>
          <w:szCs w:val="24"/>
          <w:u w:val="none"/>
        </w:rPr>
        <w:t xml:space="preserve"> secondary school</w:t>
      </w:r>
      <w:r w:rsidR="00AE08C4">
        <w:rPr>
          <w:rStyle w:val="Hyperlink"/>
          <w:rFonts w:ascii="Times New Roman" w:eastAsiaTheme="minorEastAsia" w:hAnsi="Times New Roman" w:cs="Times New Roman"/>
          <w:color w:val="000000" w:themeColor="text1"/>
          <w:sz w:val="24"/>
          <w:szCs w:val="24"/>
          <w:u w:val="none"/>
        </w:rPr>
        <w:t xml:space="preserve"> year</w:t>
      </w:r>
      <w:r w:rsidR="00E84E95" w:rsidRPr="0081090C">
        <w:rPr>
          <w:rStyle w:val="Hyperlink"/>
          <w:rFonts w:ascii="Times New Roman" w:eastAsiaTheme="minorEastAsia" w:hAnsi="Times New Roman" w:cs="Times New Roman"/>
          <w:color w:val="000000" w:themeColor="text1"/>
          <w:sz w:val="24"/>
          <w:szCs w:val="24"/>
          <w:u w:val="none"/>
        </w:rPr>
        <w:t xml:space="preserve">. The analysis will thus capture the extent that high-achieving disadvantaged children of different genders and ethnicities </w:t>
      </w:r>
      <w:r w:rsidR="00AE08C4">
        <w:rPr>
          <w:rStyle w:val="Hyperlink"/>
          <w:rFonts w:ascii="Times New Roman" w:eastAsiaTheme="minorEastAsia" w:hAnsi="Times New Roman" w:cs="Times New Roman"/>
          <w:color w:val="000000" w:themeColor="text1"/>
          <w:sz w:val="24"/>
          <w:szCs w:val="24"/>
          <w:u w:val="none"/>
        </w:rPr>
        <w:t xml:space="preserve">have a record of </w:t>
      </w:r>
      <w:r w:rsidR="00E84E95" w:rsidRPr="0081090C">
        <w:rPr>
          <w:rStyle w:val="Hyperlink"/>
          <w:rFonts w:ascii="Times New Roman" w:eastAsiaTheme="minorEastAsia" w:hAnsi="Times New Roman" w:cs="Times New Roman"/>
          <w:color w:val="000000" w:themeColor="text1"/>
          <w:sz w:val="24"/>
          <w:szCs w:val="24"/>
          <w:u w:val="none"/>
        </w:rPr>
        <w:t xml:space="preserve">a serious behaviour </w:t>
      </w:r>
      <w:r w:rsidR="00AE08C4">
        <w:rPr>
          <w:rStyle w:val="Hyperlink"/>
          <w:rFonts w:ascii="Times New Roman" w:eastAsiaTheme="minorEastAsia" w:hAnsi="Times New Roman" w:cs="Times New Roman"/>
          <w:color w:val="000000" w:themeColor="text1"/>
          <w:sz w:val="24"/>
          <w:szCs w:val="24"/>
          <w:u w:val="none"/>
        </w:rPr>
        <w:t>incident</w:t>
      </w:r>
      <w:r w:rsidR="00D526D2" w:rsidRPr="0081090C">
        <w:rPr>
          <w:rStyle w:val="Hyperlink"/>
          <w:rFonts w:ascii="Times New Roman" w:eastAsiaTheme="minorEastAsia" w:hAnsi="Times New Roman" w:cs="Times New Roman"/>
          <w:color w:val="000000" w:themeColor="text1"/>
          <w:sz w:val="24"/>
          <w:szCs w:val="24"/>
          <w:u w:val="none"/>
        </w:rPr>
        <w:t xml:space="preserve"> during their time in secondary education.</w:t>
      </w:r>
    </w:p>
    <w:p w14:paraId="66F63BE7" w14:textId="78992AD8" w:rsidR="00987A60" w:rsidRPr="0081090C" w:rsidRDefault="009472D4" w:rsidP="00D656E9">
      <w:pPr>
        <w:spacing w:line="360" w:lineRule="auto"/>
        <w:jc w:val="both"/>
        <w:rPr>
          <w:rStyle w:val="Hyperlink"/>
          <w:rFonts w:ascii="Times New Roman" w:hAnsi="Times New Roman" w:cs="Times New Roman"/>
          <w:color w:val="000000" w:themeColor="text1"/>
          <w:sz w:val="24"/>
          <w:szCs w:val="24"/>
          <w:u w:val="none"/>
        </w:rPr>
      </w:pPr>
      <w:r w:rsidRPr="0081090C">
        <w:rPr>
          <w:rStyle w:val="Hyperlink"/>
          <w:rFonts w:ascii="Times New Roman" w:eastAsiaTheme="minorEastAsia" w:hAnsi="Times New Roman" w:cs="Times New Roman"/>
          <w:color w:val="000000" w:themeColor="text1"/>
          <w:sz w:val="24"/>
          <w:szCs w:val="24"/>
          <w:u w:val="none"/>
        </w:rPr>
        <w:t>When presenting these results, we note the methodological issue of “Kelley’s paradox”, discussed in detail by Jerrim and Carvajal (2024). In particular, when t</w:t>
      </w:r>
      <w:r w:rsidR="00E674C2" w:rsidRPr="0081090C">
        <w:rPr>
          <w:rStyle w:val="Hyperlink"/>
          <w:rFonts w:ascii="Times New Roman" w:eastAsiaTheme="minorEastAsia" w:hAnsi="Times New Roman" w:cs="Times New Roman"/>
          <w:color w:val="000000" w:themeColor="text1"/>
          <w:sz w:val="24"/>
          <w:szCs w:val="24"/>
          <w:u w:val="none"/>
        </w:rPr>
        <w:t xml:space="preserve">he test scores used to define “high achieving” groups are measured with error, one may overestimate the difference in future outcomes amongst high-achieving children from different socio-economic backgrounds. We interrogate this issue in Appendix </w:t>
      </w:r>
      <w:r w:rsidR="007D596B">
        <w:rPr>
          <w:rStyle w:val="Hyperlink"/>
          <w:rFonts w:ascii="Times New Roman" w:eastAsiaTheme="minorEastAsia" w:hAnsi="Times New Roman" w:cs="Times New Roman"/>
          <w:color w:val="000000" w:themeColor="text1"/>
          <w:sz w:val="24"/>
          <w:szCs w:val="24"/>
          <w:u w:val="none"/>
        </w:rPr>
        <w:t>G</w:t>
      </w:r>
      <w:r w:rsidR="00E674C2" w:rsidRPr="0081090C">
        <w:rPr>
          <w:rStyle w:val="Hyperlink"/>
          <w:rFonts w:ascii="Times New Roman" w:eastAsiaTheme="minorEastAsia" w:hAnsi="Times New Roman" w:cs="Times New Roman"/>
          <w:color w:val="000000" w:themeColor="text1"/>
          <w:sz w:val="24"/>
          <w:szCs w:val="24"/>
          <w:u w:val="none"/>
        </w:rPr>
        <w:t>, applying the sensitivity analys</w:t>
      </w:r>
      <w:r w:rsidR="00AE08C4">
        <w:rPr>
          <w:rStyle w:val="Hyperlink"/>
          <w:rFonts w:ascii="Times New Roman" w:eastAsiaTheme="minorEastAsia" w:hAnsi="Times New Roman" w:cs="Times New Roman"/>
          <w:color w:val="000000" w:themeColor="text1"/>
          <w:sz w:val="24"/>
          <w:szCs w:val="24"/>
          <w:u w:val="none"/>
        </w:rPr>
        <w:t>e</w:t>
      </w:r>
      <w:r w:rsidR="00E674C2" w:rsidRPr="0081090C">
        <w:rPr>
          <w:rStyle w:val="Hyperlink"/>
          <w:rFonts w:ascii="Times New Roman" w:eastAsiaTheme="minorEastAsia" w:hAnsi="Times New Roman" w:cs="Times New Roman"/>
          <w:color w:val="000000" w:themeColor="text1"/>
          <w:sz w:val="24"/>
          <w:szCs w:val="24"/>
          <w:u w:val="none"/>
        </w:rPr>
        <w:t>s</w:t>
      </w:r>
      <w:r w:rsidR="0000152B" w:rsidRPr="0081090C">
        <w:rPr>
          <w:rStyle w:val="Hyperlink"/>
          <w:rFonts w:ascii="Times New Roman" w:eastAsiaTheme="minorEastAsia" w:hAnsi="Times New Roman" w:cs="Times New Roman"/>
          <w:color w:val="000000" w:themeColor="text1"/>
          <w:sz w:val="24"/>
          <w:szCs w:val="24"/>
          <w:u w:val="none"/>
        </w:rPr>
        <w:t xml:space="preserve"> </w:t>
      </w:r>
      <w:r w:rsidR="00AE08C4">
        <w:rPr>
          <w:rStyle w:val="Hyperlink"/>
          <w:rFonts w:ascii="Times New Roman" w:eastAsiaTheme="minorEastAsia" w:hAnsi="Times New Roman" w:cs="Times New Roman"/>
          <w:color w:val="000000" w:themeColor="text1"/>
          <w:sz w:val="24"/>
          <w:szCs w:val="24"/>
          <w:u w:val="none"/>
        </w:rPr>
        <w:t>proposed</w:t>
      </w:r>
      <w:r w:rsidR="0000152B" w:rsidRPr="0081090C">
        <w:rPr>
          <w:rStyle w:val="Hyperlink"/>
          <w:rFonts w:ascii="Times New Roman" w:eastAsiaTheme="minorEastAsia" w:hAnsi="Times New Roman" w:cs="Times New Roman"/>
          <w:color w:val="000000" w:themeColor="text1"/>
          <w:sz w:val="24"/>
          <w:szCs w:val="24"/>
          <w:u w:val="none"/>
        </w:rPr>
        <w:t xml:space="preserve"> by Jerrim and Carvajal (2024).</w:t>
      </w:r>
      <w:r w:rsidR="0090096E" w:rsidRPr="0081090C">
        <w:rPr>
          <w:rStyle w:val="Hyperlink"/>
          <w:rFonts w:ascii="Times New Roman" w:eastAsiaTheme="minorEastAsia" w:hAnsi="Times New Roman" w:cs="Times New Roman"/>
          <w:color w:val="000000" w:themeColor="text1"/>
          <w:sz w:val="24"/>
          <w:szCs w:val="24"/>
          <w:u w:val="none"/>
        </w:rPr>
        <w:t xml:space="preserve"> This approach essentially illustrates how our results change </w:t>
      </w:r>
      <w:r w:rsidR="00AE08C4">
        <w:rPr>
          <w:rStyle w:val="Hyperlink"/>
          <w:rFonts w:ascii="Times New Roman" w:eastAsiaTheme="minorEastAsia" w:hAnsi="Times New Roman" w:cs="Times New Roman"/>
          <w:color w:val="000000" w:themeColor="text1"/>
          <w:sz w:val="24"/>
          <w:szCs w:val="24"/>
          <w:u w:val="none"/>
        </w:rPr>
        <w:t>under</w:t>
      </w:r>
      <w:r w:rsidR="004C0B7A" w:rsidRPr="0081090C">
        <w:rPr>
          <w:rStyle w:val="Hyperlink"/>
          <w:rFonts w:ascii="Times New Roman" w:eastAsiaTheme="minorEastAsia" w:hAnsi="Times New Roman" w:cs="Times New Roman"/>
          <w:color w:val="000000" w:themeColor="text1"/>
          <w:sz w:val="24"/>
          <w:szCs w:val="24"/>
          <w:u w:val="none"/>
        </w:rPr>
        <w:t xml:space="preserve"> different assumptions about the measurement error present in the Key Stage 2 tests. </w:t>
      </w:r>
      <w:r w:rsidR="005611DA" w:rsidRPr="00636ED7">
        <w:rPr>
          <w:rStyle w:val="Hyperlink"/>
          <w:rFonts w:ascii="Times New Roman" w:eastAsiaTheme="minorEastAsia" w:hAnsi="Times New Roman" w:cs="Times New Roman"/>
          <w:color w:val="000000" w:themeColor="text1"/>
          <w:sz w:val="24"/>
          <w:szCs w:val="24"/>
          <w:u w:val="none"/>
        </w:rPr>
        <w:t xml:space="preserve">We find the magnitude of the difference in attendance, exclusion and </w:t>
      </w:r>
      <w:r w:rsidR="008A2485" w:rsidRPr="00636ED7">
        <w:rPr>
          <w:rStyle w:val="Hyperlink"/>
          <w:rFonts w:ascii="Times New Roman" w:eastAsiaTheme="minorEastAsia" w:hAnsi="Times New Roman" w:cs="Times New Roman"/>
          <w:color w:val="000000" w:themeColor="text1"/>
          <w:sz w:val="24"/>
          <w:szCs w:val="24"/>
          <w:u w:val="none"/>
        </w:rPr>
        <w:t>cautions/sentences</w:t>
      </w:r>
      <w:r w:rsidR="005611DA" w:rsidRPr="00636ED7">
        <w:rPr>
          <w:rStyle w:val="Hyperlink"/>
          <w:rFonts w:ascii="Times New Roman" w:eastAsiaTheme="minorEastAsia" w:hAnsi="Times New Roman" w:cs="Times New Roman"/>
          <w:color w:val="000000" w:themeColor="text1"/>
          <w:sz w:val="24"/>
          <w:szCs w:val="24"/>
          <w:u w:val="none"/>
        </w:rPr>
        <w:t xml:space="preserve"> </w:t>
      </w:r>
      <w:r w:rsidR="003D77C7" w:rsidRPr="00636ED7">
        <w:rPr>
          <w:rStyle w:val="Hyperlink"/>
          <w:rFonts w:ascii="Times New Roman" w:eastAsiaTheme="minorEastAsia" w:hAnsi="Times New Roman" w:cs="Times New Roman"/>
          <w:color w:val="000000" w:themeColor="text1"/>
          <w:sz w:val="24"/>
          <w:szCs w:val="24"/>
          <w:u w:val="none"/>
        </w:rPr>
        <w:t xml:space="preserve">across high-achieving children from </w:t>
      </w:r>
      <w:r w:rsidR="003607A0" w:rsidRPr="00636ED7">
        <w:rPr>
          <w:rStyle w:val="Hyperlink"/>
          <w:rFonts w:ascii="Times New Roman" w:eastAsiaTheme="minorEastAsia" w:hAnsi="Times New Roman" w:cs="Times New Roman"/>
          <w:color w:val="000000" w:themeColor="text1"/>
          <w:sz w:val="24"/>
          <w:szCs w:val="24"/>
          <w:u w:val="none"/>
        </w:rPr>
        <w:t>different socio-economic</w:t>
      </w:r>
      <w:r w:rsidR="003D77C7" w:rsidRPr="00636ED7">
        <w:rPr>
          <w:rStyle w:val="Hyperlink"/>
          <w:rFonts w:ascii="Times New Roman" w:eastAsiaTheme="minorEastAsia" w:hAnsi="Times New Roman" w:cs="Times New Roman"/>
          <w:color w:val="000000" w:themeColor="text1"/>
          <w:sz w:val="24"/>
          <w:szCs w:val="24"/>
          <w:u w:val="none"/>
        </w:rPr>
        <w:t xml:space="preserve"> backgrounds declines as the </w:t>
      </w:r>
      <w:r w:rsidR="003D77C7" w:rsidRPr="00636ED7">
        <w:rPr>
          <w:rStyle w:val="Hyperlink"/>
          <w:rFonts w:ascii="Times New Roman" w:eastAsiaTheme="minorEastAsia" w:hAnsi="Times New Roman" w:cs="Times New Roman"/>
          <w:color w:val="000000" w:themeColor="text1"/>
          <w:sz w:val="24"/>
          <w:szCs w:val="24"/>
          <w:u w:val="none"/>
        </w:rPr>
        <w:lastRenderedPageBreak/>
        <w:t>assumed measurement error in the Key Stage 2 tests increases</w:t>
      </w:r>
      <w:r w:rsidR="000853F8" w:rsidRPr="00636ED7">
        <w:rPr>
          <w:rStyle w:val="Hyperlink"/>
          <w:rFonts w:ascii="Times New Roman" w:eastAsiaTheme="minorEastAsia" w:hAnsi="Times New Roman" w:cs="Times New Roman"/>
          <w:color w:val="000000" w:themeColor="text1"/>
          <w:sz w:val="24"/>
          <w:szCs w:val="24"/>
          <w:u w:val="none"/>
        </w:rPr>
        <w:t xml:space="preserve">. However, </w:t>
      </w:r>
      <w:r w:rsidR="002517FD" w:rsidRPr="00636ED7">
        <w:rPr>
          <w:rStyle w:val="Hyperlink"/>
          <w:rFonts w:ascii="Times New Roman" w:eastAsiaTheme="minorEastAsia" w:hAnsi="Times New Roman" w:cs="Times New Roman"/>
          <w:color w:val="000000" w:themeColor="text1"/>
          <w:sz w:val="24"/>
          <w:szCs w:val="24"/>
          <w:u w:val="none"/>
        </w:rPr>
        <w:t>even when one assumes the measurement error in the Key Stage 2 tests is reasonably large</w:t>
      </w:r>
      <w:r w:rsidR="00CA0042" w:rsidRPr="00636ED7">
        <w:rPr>
          <w:rStyle w:val="Hyperlink"/>
          <w:rFonts w:ascii="Times New Roman" w:eastAsiaTheme="minorEastAsia" w:hAnsi="Times New Roman" w:cs="Times New Roman"/>
          <w:color w:val="000000" w:themeColor="text1"/>
          <w:sz w:val="24"/>
          <w:szCs w:val="24"/>
          <w:u w:val="none"/>
        </w:rPr>
        <w:t>,</w:t>
      </w:r>
      <w:r w:rsidR="003607A0" w:rsidRPr="00636ED7">
        <w:rPr>
          <w:rStyle w:val="Hyperlink"/>
          <w:rFonts w:ascii="Times New Roman" w:eastAsiaTheme="minorEastAsia" w:hAnsi="Times New Roman" w:cs="Times New Roman"/>
          <w:color w:val="000000" w:themeColor="text1"/>
          <w:sz w:val="24"/>
          <w:szCs w:val="24"/>
          <w:u w:val="none"/>
        </w:rPr>
        <w:t xml:space="preserve"> most of the</w:t>
      </w:r>
      <w:r w:rsidR="00CA0042" w:rsidRPr="00636ED7">
        <w:rPr>
          <w:rStyle w:val="Hyperlink"/>
          <w:rFonts w:ascii="Times New Roman" w:eastAsiaTheme="minorEastAsia" w:hAnsi="Times New Roman" w:cs="Times New Roman"/>
          <w:color w:val="000000" w:themeColor="text1"/>
          <w:sz w:val="24"/>
          <w:szCs w:val="24"/>
          <w:u w:val="none"/>
        </w:rPr>
        <w:t xml:space="preserve"> socio-economic</w:t>
      </w:r>
      <w:r w:rsidR="003607A0" w:rsidRPr="00636ED7">
        <w:rPr>
          <w:rStyle w:val="Hyperlink"/>
          <w:rFonts w:ascii="Times New Roman" w:eastAsiaTheme="minorEastAsia" w:hAnsi="Times New Roman" w:cs="Times New Roman"/>
          <w:color w:val="000000" w:themeColor="text1"/>
          <w:sz w:val="24"/>
          <w:szCs w:val="24"/>
          <w:u w:val="none"/>
        </w:rPr>
        <w:t xml:space="preserve"> gaps</w:t>
      </w:r>
      <w:r w:rsidR="00CA0042" w:rsidRPr="00636ED7">
        <w:rPr>
          <w:rStyle w:val="Hyperlink"/>
          <w:rFonts w:ascii="Times New Roman" w:eastAsiaTheme="minorEastAsia" w:hAnsi="Times New Roman" w:cs="Times New Roman"/>
          <w:color w:val="000000" w:themeColor="text1"/>
          <w:sz w:val="24"/>
          <w:szCs w:val="24"/>
          <w:u w:val="none"/>
        </w:rPr>
        <w:t xml:space="preserve"> reported on in this paper</w:t>
      </w:r>
      <w:r w:rsidR="003607A0" w:rsidRPr="00636ED7">
        <w:rPr>
          <w:rStyle w:val="Hyperlink"/>
          <w:rFonts w:ascii="Times New Roman" w:eastAsiaTheme="minorEastAsia" w:hAnsi="Times New Roman" w:cs="Times New Roman"/>
          <w:color w:val="000000" w:themeColor="text1"/>
          <w:sz w:val="24"/>
          <w:szCs w:val="24"/>
          <w:u w:val="none"/>
        </w:rPr>
        <w:t xml:space="preserve"> remain </w:t>
      </w:r>
      <w:r w:rsidR="00636ED7">
        <w:rPr>
          <w:rStyle w:val="Hyperlink"/>
          <w:rFonts w:ascii="Times New Roman" w:eastAsiaTheme="minorEastAsia" w:hAnsi="Times New Roman" w:cs="Times New Roman"/>
          <w:color w:val="000000" w:themeColor="text1"/>
          <w:sz w:val="24"/>
          <w:szCs w:val="24"/>
          <w:u w:val="none"/>
        </w:rPr>
        <w:t xml:space="preserve">non-trivial. </w:t>
      </w:r>
    </w:p>
    <w:p w14:paraId="6BD21116" w14:textId="5AA0B953" w:rsidR="002D76ED" w:rsidRPr="0081090C" w:rsidRDefault="002D76ED" w:rsidP="00D656E9">
      <w:pPr>
        <w:spacing w:line="360" w:lineRule="auto"/>
        <w:jc w:val="both"/>
        <w:rPr>
          <w:rStyle w:val="Hyperlink"/>
          <w:rFonts w:ascii="Times New Roman" w:hAnsi="Times New Roman" w:cs="Times New Roman"/>
          <w:color w:val="000000" w:themeColor="text1"/>
          <w:sz w:val="24"/>
          <w:szCs w:val="24"/>
        </w:rPr>
      </w:pPr>
      <w:r w:rsidRPr="0081090C">
        <w:rPr>
          <w:rStyle w:val="Hyperlink"/>
          <w:rFonts w:ascii="Times New Roman" w:hAnsi="Times New Roman" w:cs="Times New Roman"/>
          <w:color w:val="000000" w:themeColor="text1"/>
          <w:sz w:val="24"/>
          <w:szCs w:val="24"/>
        </w:rPr>
        <w:t>Research question 4. To what extent can</w:t>
      </w:r>
      <w:r w:rsidR="00936BBA">
        <w:rPr>
          <w:rStyle w:val="Hyperlink"/>
          <w:rFonts w:ascii="Times New Roman" w:hAnsi="Times New Roman" w:cs="Times New Roman"/>
          <w:color w:val="000000" w:themeColor="text1"/>
          <w:sz w:val="24"/>
          <w:szCs w:val="24"/>
        </w:rPr>
        <w:t xml:space="preserve"> socio-economic</w:t>
      </w:r>
      <w:r w:rsidRPr="0081090C">
        <w:rPr>
          <w:rStyle w:val="Hyperlink"/>
          <w:rFonts w:ascii="Times New Roman" w:hAnsi="Times New Roman" w:cs="Times New Roman"/>
          <w:color w:val="000000" w:themeColor="text1"/>
          <w:sz w:val="24"/>
          <w:szCs w:val="24"/>
        </w:rPr>
        <w:t xml:space="preserve"> differences in </w:t>
      </w:r>
      <w:r w:rsidR="008A2485">
        <w:rPr>
          <w:rStyle w:val="Hyperlink"/>
          <w:rFonts w:ascii="Times New Roman" w:hAnsi="Times New Roman" w:cs="Times New Roman"/>
          <w:color w:val="000000" w:themeColor="text1"/>
          <w:sz w:val="24"/>
          <w:szCs w:val="24"/>
        </w:rPr>
        <w:t>criminal cautions/sentences during adulthood</w:t>
      </w:r>
      <w:r w:rsidRPr="0081090C">
        <w:rPr>
          <w:rStyle w:val="Hyperlink"/>
          <w:rFonts w:ascii="Times New Roman" w:hAnsi="Times New Roman" w:cs="Times New Roman"/>
          <w:color w:val="000000" w:themeColor="text1"/>
          <w:sz w:val="24"/>
          <w:szCs w:val="24"/>
        </w:rPr>
        <w:t xml:space="preserve"> be explained by</w:t>
      </w:r>
      <w:r w:rsidR="00936BBA">
        <w:rPr>
          <w:rStyle w:val="Hyperlink"/>
          <w:rFonts w:ascii="Times New Roman" w:hAnsi="Times New Roman" w:cs="Times New Roman"/>
          <w:color w:val="000000" w:themeColor="text1"/>
          <w:sz w:val="24"/>
          <w:szCs w:val="24"/>
        </w:rPr>
        <w:t xml:space="preserve"> differences in</w:t>
      </w:r>
      <w:r w:rsidRPr="0081090C">
        <w:rPr>
          <w:rStyle w:val="Hyperlink"/>
          <w:rFonts w:ascii="Times New Roman" w:hAnsi="Times New Roman" w:cs="Times New Roman"/>
          <w:color w:val="000000" w:themeColor="text1"/>
          <w:sz w:val="24"/>
          <w:szCs w:val="24"/>
        </w:rPr>
        <w:t xml:space="preserve"> absences, exclusions and attainment at school</w:t>
      </w:r>
      <w:r w:rsidR="00936BBA">
        <w:rPr>
          <w:rStyle w:val="Hyperlink"/>
          <w:rFonts w:ascii="Times New Roman" w:hAnsi="Times New Roman" w:cs="Times New Roman"/>
          <w:color w:val="000000" w:themeColor="text1"/>
          <w:sz w:val="24"/>
          <w:szCs w:val="24"/>
        </w:rPr>
        <w:t>, amongst children with high levels of prior achievement</w:t>
      </w:r>
      <w:r w:rsidRPr="0081090C">
        <w:rPr>
          <w:rStyle w:val="Hyperlink"/>
          <w:rFonts w:ascii="Times New Roman" w:hAnsi="Times New Roman" w:cs="Times New Roman"/>
          <w:color w:val="000000" w:themeColor="text1"/>
          <w:sz w:val="24"/>
          <w:szCs w:val="24"/>
        </w:rPr>
        <w:t>?</w:t>
      </w:r>
    </w:p>
    <w:p w14:paraId="3DE07FC5" w14:textId="6A11D873" w:rsidR="009C01AD" w:rsidRPr="0081090C" w:rsidRDefault="00D656E9" w:rsidP="00D656E9">
      <w:pPr>
        <w:spacing w:line="360" w:lineRule="auto"/>
        <w:jc w:val="both"/>
        <w:rPr>
          <w:rStyle w:val="Hyperlink"/>
          <w:rFonts w:ascii="Times New Roman" w:hAnsi="Times New Roman" w:cs="Times New Roman"/>
          <w:color w:val="000000" w:themeColor="text1"/>
          <w:sz w:val="24"/>
          <w:szCs w:val="24"/>
          <w:u w:val="none"/>
        </w:rPr>
      </w:pPr>
      <w:r w:rsidRPr="0081090C">
        <w:rPr>
          <w:rStyle w:val="Hyperlink"/>
          <w:rFonts w:ascii="Times New Roman" w:hAnsi="Times New Roman" w:cs="Times New Roman"/>
          <w:color w:val="000000" w:themeColor="text1"/>
          <w:sz w:val="24"/>
          <w:szCs w:val="24"/>
          <w:u w:val="none"/>
        </w:rPr>
        <w:t>Our</w:t>
      </w:r>
      <w:r w:rsidR="00FC0DD4" w:rsidRPr="0081090C">
        <w:rPr>
          <w:rStyle w:val="Hyperlink"/>
          <w:rFonts w:ascii="Times New Roman" w:hAnsi="Times New Roman" w:cs="Times New Roman"/>
          <w:color w:val="000000" w:themeColor="text1"/>
          <w:sz w:val="24"/>
          <w:szCs w:val="24"/>
          <w:u w:val="none"/>
        </w:rPr>
        <w:t xml:space="preserve"> final research question considers how engagement in criminal activity during adulthood differs </w:t>
      </w:r>
      <w:r w:rsidR="00035FCA" w:rsidRPr="0081090C">
        <w:rPr>
          <w:rStyle w:val="Hyperlink"/>
          <w:rFonts w:ascii="Times New Roman" w:hAnsi="Times New Roman" w:cs="Times New Roman"/>
          <w:color w:val="000000" w:themeColor="text1"/>
          <w:sz w:val="24"/>
          <w:szCs w:val="24"/>
          <w:u w:val="none"/>
        </w:rPr>
        <w:t xml:space="preserve">across initially high-achieving young people from different socio-economic backgrounds, and the extent that such differences can be explained by variation in their </w:t>
      </w:r>
      <w:r w:rsidR="00035FCA" w:rsidRPr="00631160">
        <w:rPr>
          <w:rStyle w:val="Hyperlink"/>
          <w:rFonts w:ascii="Times New Roman" w:hAnsi="Times New Roman" w:cs="Times New Roman"/>
          <w:color w:val="000000" w:themeColor="text1"/>
          <w:sz w:val="24"/>
          <w:szCs w:val="24"/>
          <w:u w:val="none"/>
        </w:rPr>
        <w:t xml:space="preserve">attendance, exclusion, academic and </w:t>
      </w:r>
      <w:r w:rsidR="00A5208A" w:rsidRPr="00631160">
        <w:rPr>
          <w:rStyle w:val="Hyperlink"/>
          <w:rFonts w:ascii="Times New Roman" w:hAnsi="Times New Roman" w:cs="Times New Roman"/>
          <w:color w:val="000000" w:themeColor="text1"/>
          <w:sz w:val="24"/>
          <w:szCs w:val="24"/>
          <w:u w:val="none"/>
        </w:rPr>
        <w:t>criminal caution/sentence</w:t>
      </w:r>
      <w:r w:rsidR="00824F5A" w:rsidRPr="00631160">
        <w:rPr>
          <w:rStyle w:val="Hyperlink"/>
          <w:rFonts w:ascii="Times New Roman" w:hAnsi="Times New Roman" w:cs="Times New Roman"/>
          <w:color w:val="000000" w:themeColor="text1"/>
          <w:sz w:val="24"/>
          <w:szCs w:val="24"/>
          <w:u w:val="none"/>
        </w:rPr>
        <w:t xml:space="preserve"> outcomes</w:t>
      </w:r>
      <w:r w:rsidR="00035FCA" w:rsidRPr="00631160">
        <w:rPr>
          <w:rStyle w:val="Hyperlink"/>
          <w:rFonts w:ascii="Times New Roman" w:hAnsi="Times New Roman" w:cs="Times New Roman"/>
          <w:color w:val="000000" w:themeColor="text1"/>
          <w:sz w:val="24"/>
          <w:szCs w:val="24"/>
          <w:u w:val="none"/>
        </w:rPr>
        <w:t xml:space="preserve"> during their time a</w:t>
      </w:r>
      <w:r w:rsidR="00300964" w:rsidRPr="00631160">
        <w:rPr>
          <w:rStyle w:val="Hyperlink"/>
          <w:rFonts w:ascii="Times New Roman" w:hAnsi="Times New Roman" w:cs="Times New Roman"/>
          <w:color w:val="000000" w:themeColor="text1"/>
          <w:sz w:val="24"/>
          <w:szCs w:val="24"/>
          <w:u w:val="none"/>
        </w:rPr>
        <w:t>t school.</w:t>
      </w:r>
      <w:r w:rsidR="00616222" w:rsidRPr="00631160">
        <w:rPr>
          <w:rStyle w:val="Hyperlink"/>
          <w:rFonts w:ascii="Times New Roman" w:hAnsi="Times New Roman" w:cs="Times New Roman"/>
          <w:color w:val="000000" w:themeColor="text1"/>
          <w:sz w:val="24"/>
          <w:szCs w:val="24"/>
          <w:u w:val="none"/>
        </w:rPr>
        <w:t xml:space="preserve"> This part of our analysis restricts the sample to Cohorts A and B, given that we can observ</w:t>
      </w:r>
      <w:r w:rsidR="007C2C07" w:rsidRPr="00631160">
        <w:rPr>
          <w:rStyle w:val="Hyperlink"/>
          <w:rFonts w:ascii="Times New Roman" w:hAnsi="Times New Roman" w:cs="Times New Roman"/>
          <w:color w:val="000000" w:themeColor="text1"/>
          <w:sz w:val="24"/>
          <w:szCs w:val="24"/>
          <w:u w:val="none"/>
        </w:rPr>
        <w:t>e their</w:t>
      </w:r>
      <w:r w:rsidR="00D66A9C" w:rsidRPr="00631160">
        <w:rPr>
          <w:rStyle w:val="Hyperlink"/>
          <w:rFonts w:ascii="Times New Roman" w:hAnsi="Times New Roman" w:cs="Times New Roman"/>
          <w:color w:val="000000" w:themeColor="text1"/>
          <w:sz w:val="24"/>
          <w:szCs w:val="24"/>
          <w:u w:val="none"/>
        </w:rPr>
        <w:t xml:space="preserve"> criminal</w:t>
      </w:r>
      <w:r w:rsidR="007C2C07" w:rsidRPr="00631160">
        <w:rPr>
          <w:rStyle w:val="Hyperlink"/>
          <w:rFonts w:ascii="Times New Roman" w:hAnsi="Times New Roman" w:cs="Times New Roman"/>
          <w:color w:val="000000" w:themeColor="text1"/>
          <w:sz w:val="24"/>
          <w:szCs w:val="24"/>
          <w:u w:val="none"/>
        </w:rPr>
        <w:t xml:space="preserve"> </w:t>
      </w:r>
      <w:r w:rsidR="00A5208A" w:rsidRPr="00631160">
        <w:rPr>
          <w:rStyle w:val="Hyperlink"/>
          <w:rFonts w:ascii="Times New Roman" w:hAnsi="Times New Roman" w:cs="Times New Roman"/>
          <w:color w:val="000000" w:themeColor="text1"/>
          <w:sz w:val="24"/>
          <w:szCs w:val="24"/>
          <w:u w:val="none"/>
        </w:rPr>
        <w:t>cautions/sentence</w:t>
      </w:r>
      <w:r w:rsidR="00D66A9C" w:rsidRPr="00631160">
        <w:rPr>
          <w:rStyle w:val="Hyperlink"/>
          <w:rFonts w:ascii="Times New Roman" w:hAnsi="Times New Roman" w:cs="Times New Roman"/>
          <w:color w:val="000000" w:themeColor="text1"/>
          <w:sz w:val="24"/>
          <w:szCs w:val="24"/>
          <w:u w:val="none"/>
        </w:rPr>
        <w:t>s</w:t>
      </w:r>
      <w:r w:rsidR="007C2C07" w:rsidRPr="00631160">
        <w:rPr>
          <w:rStyle w:val="Hyperlink"/>
          <w:rFonts w:ascii="Times New Roman" w:hAnsi="Times New Roman" w:cs="Times New Roman"/>
          <w:color w:val="000000" w:themeColor="text1"/>
          <w:sz w:val="24"/>
          <w:szCs w:val="24"/>
          <w:u w:val="none"/>
        </w:rPr>
        <w:t xml:space="preserve"> through to age </w:t>
      </w:r>
      <w:r w:rsidR="00173B48" w:rsidRPr="00631160">
        <w:rPr>
          <w:rStyle w:val="Hyperlink"/>
          <w:rFonts w:ascii="Times New Roman" w:hAnsi="Times New Roman" w:cs="Times New Roman"/>
          <w:color w:val="000000" w:themeColor="text1"/>
          <w:sz w:val="24"/>
          <w:szCs w:val="24"/>
          <w:u w:val="none"/>
        </w:rPr>
        <w:t>30</w:t>
      </w:r>
      <w:r w:rsidR="007C2C07" w:rsidRPr="00631160">
        <w:rPr>
          <w:rStyle w:val="Hyperlink"/>
          <w:rFonts w:ascii="Times New Roman" w:hAnsi="Times New Roman" w:cs="Times New Roman"/>
          <w:color w:val="000000" w:themeColor="text1"/>
          <w:sz w:val="24"/>
          <w:szCs w:val="24"/>
          <w:u w:val="none"/>
        </w:rPr>
        <w:t xml:space="preserve"> (cohort A) and </w:t>
      </w:r>
      <w:r w:rsidR="00173B48" w:rsidRPr="00631160">
        <w:rPr>
          <w:rStyle w:val="Hyperlink"/>
          <w:rFonts w:ascii="Times New Roman" w:hAnsi="Times New Roman" w:cs="Times New Roman"/>
          <w:color w:val="000000" w:themeColor="text1"/>
          <w:sz w:val="24"/>
          <w:szCs w:val="24"/>
          <w:u w:val="none"/>
        </w:rPr>
        <w:t>26</w:t>
      </w:r>
      <w:r w:rsidR="007C2C07" w:rsidRPr="00631160">
        <w:rPr>
          <w:rStyle w:val="Hyperlink"/>
          <w:rFonts w:ascii="Times New Roman" w:hAnsi="Times New Roman" w:cs="Times New Roman"/>
          <w:color w:val="000000" w:themeColor="text1"/>
          <w:sz w:val="24"/>
          <w:szCs w:val="24"/>
          <w:u w:val="none"/>
        </w:rPr>
        <w:t xml:space="preserve"> (cohort B)</w:t>
      </w:r>
      <w:r w:rsidR="008C759A" w:rsidRPr="00631160">
        <w:rPr>
          <w:rStyle w:val="FootnoteReference"/>
          <w:rFonts w:ascii="Times New Roman" w:hAnsi="Times New Roman" w:cs="Times New Roman"/>
          <w:color w:val="000000" w:themeColor="text1"/>
          <w:sz w:val="24"/>
          <w:szCs w:val="24"/>
        </w:rPr>
        <w:footnoteReference w:id="7"/>
      </w:r>
      <w:r w:rsidR="007C2C07" w:rsidRPr="00631160">
        <w:rPr>
          <w:rStyle w:val="Hyperlink"/>
          <w:rFonts w:ascii="Times New Roman" w:hAnsi="Times New Roman" w:cs="Times New Roman"/>
          <w:color w:val="000000" w:themeColor="text1"/>
          <w:sz w:val="24"/>
          <w:szCs w:val="24"/>
          <w:u w:val="none"/>
        </w:rPr>
        <w:t>.</w:t>
      </w:r>
      <w:r w:rsidR="005022C3" w:rsidRPr="00631160">
        <w:rPr>
          <w:rStyle w:val="Hyperlink"/>
          <w:rFonts w:ascii="Times New Roman" w:hAnsi="Times New Roman" w:cs="Times New Roman"/>
          <w:color w:val="000000" w:themeColor="text1"/>
          <w:sz w:val="24"/>
          <w:szCs w:val="24"/>
          <w:u w:val="none"/>
        </w:rPr>
        <w:t xml:space="preserve"> For</w:t>
      </w:r>
      <w:r w:rsidR="005022C3" w:rsidRPr="0081090C">
        <w:rPr>
          <w:rStyle w:val="Hyperlink"/>
          <w:rFonts w:ascii="Times New Roman" w:hAnsi="Times New Roman" w:cs="Times New Roman"/>
          <w:color w:val="000000" w:themeColor="text1"/>
          <w:sz w:val="24"/>
          <w:szCs w:val="24"/>
          <w:u w:val="none"/>
        </w:rPr>
        <w:t xml:space="preserve"> these cohorts we restrict the sample to initially high-achieving young people (top Key Stage 2 quartile) and estimate a series of logistic regression models of the form:</w:t>
      </w:r>
    </w:p>
    <w:p w14:paraId="13B0A4FC" w14:textId="604CE6E6" w:rsidR="005022C3" w:rsidRPr="0081090C" w:rsidRDefault="00000000" w:rsidP="005022C3">
      <w:pPr>
        <w:spacing w:line="360" w:lineRule="auto"/>
        <w:jc w:val="both"/>
        <w:rPr>
          <w:rStyle w:val="Hyperlink"/>
          <w:rFonts w:ascii="Times New Roman" w:hAnsi="Times New Roman" w:cs="Times New Roman"/>
          <w:color w:val="000000" w:themeColor="text1"/>
          <w:sz w:val="24"/>
          <w:szCs w:val="24"/>
          <w:u w:val="none"/>
        </w:rPr>
      </w:pP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C18</m:t>
            </m:r>
          </m:e>
          <m:sub>
            <m:r>
              <w:rPr>
                <w:rStyle w:val="Hyperlink"/>
                <w:rFonts w:ascii="Cambria Math" w:hAnsi="Cambria Math" w:cs="Times New Roman"/>
                <w:color w:val="000000" w:themeColor="text1"/>
                <w:sz w:val="24"/>
                <w:szCs w:val="24"/>
                <w:u w:val="none"/>
              </w:rPr>
              <m:t>i</m:t>
            </m:r>
          </m:sub>
        </m:sSub>
        <m:r>
          <w:rPr>
            <w:rStyle w:val="Hyperlink"/>
            <w:rFonts w:ascii="Cambria Math" w:eastAsiaTheme="minorEastAsia" w:hAnsi="Cambria Math" w:cs="Times New Roman"/>
            <w:color w:val="000000" w:themeColor="text1"/>
            <w:sz w:val="24"/>
            <w:szCs w:val="24"/>
            <w:u w:val="none"/>
          </w:rPr>
          <m:t>=α+β.</m:t>
        </m:r>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SES</m:t>
            </m:r>
          </m:e>
          <m:sub>
            <m:r>
              <w:rPr>
                <w:rStyle w:val="Hyperlink"/>
                <w:rFonts w:ascii="Cambria Math" w:hAnsi="Cambria Math" w:cs="Times New Roman"/>
                <w:color w:val="000000" w:themeColor="text1"/>
                <w:sz w:val="24"/>
                <w:szCs w:val="24"/>
                <w:u w:val="none"/>
              </w:rPr>
              <m:t>i</m:t>
            </m:r>
          </m:sub>
        </m:sSub>
        <m:r>
          <w:rPr>
            <w:rStyle w:val="Hyperlink"/>
            <w:rFonts w:ascii="Cambria Math" w:hAnsi="Cambria Math" w:cs="Times New Roman"/>
            <w:color w:val="000000" w:themeColor="text1"/>
            <w:sz w:val="24"/>
            <w:szCs w:val="24"/>
            <w:u w:val="none"/>
          </w:rPr>
          <m:t>+φ.</m:t>
        </m:r>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Ach</m:t>
            </m:r>
          </m:e>
          <m:sub>
            <m:r>
              <w:rPr>
                <w:rStyle w:val="Hyperlink"/>
                <w:rFonts w:ascii="Cambria Math" w:hAnsi="Cambria Math" w:cs="Times New Roman"/>
                <w:color w:val="000000" w:themeColor="text1"/>
                <w:sz w:val="24"/>
                <w:szCs w:val="24"/>
                <w:u w:val="none"/>
              </w:rPr>
              <m:t>i</m:t>
            </m:r>
          </m:sub>
        </m:sSub>
        <m:r>
          <w:rPr>
            <w:rStyle w:val="Hyperlink"/>
            <w:rFonts w:ascii="Cambria Math" w:hAnsi="Cambria Math" w:cs="Times New Roman"/>
            <w:color w:val="000000" w:themeColor="text1"/>
            <w:sz w:val="24"/>
            <w:szCs w:val="24"/>
            <w:u w:val="none"/>
          </w:rPr>
          <m:t>+∅.</m:t>
        </m:r>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Cohort</m:t>
            </m:r>
          </m:e>
          <m:sub>
            <m:r>
              <w:rPr>
                <w:rStyle w:val="Hyperlink"/>
                <w:rFonts w:ascii="Cambria Math" w:hAnsi="Cambria Math" w:cs="Times New Roman"/>
                <w:color w:val="000000" w:themeColor="text1"/>
                <w:sz w:val="24"/>
                <w:szCs w:val="24"/>
                <w:u w:val="none"/>
              </w:rPr>
              <m:t>i</m:t>
            </m:r>
          </m:sub>
        </m:sSub>
        <m:r>
          <w:rPr>
            <w:rStyle w:val="Hyperlink"/>
            <w:rFonts w:ascii="Cambria Math" w:hAnsi="Cambria Math" w:cs="Times New Roman"/>
            <w:color w:val="000000" w:themeColor="text1"/>
            <w:sz w:val="24"/>
            <w:szCs w:val="24"/>
            <w:u w:val="none"/>
          </w:rPr>
          <m:t xml:space="preserve">+π. </m:t>
        </m:r>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Ab</m:t>
            </m:r>
          </m:e>
          <m:sub>
            <m:r>
              <w:rPr>
                <w:rStyle w:val="Hyperlink"/>
                <w:rFonts w:ascii="Cambria Math" w:hAnsi="Cambria Math" w:cs="Times New Roman"/>
                <w:color w:val="000000" w:themeColor="text1"/>
                <w:sz w:val="24"/>
                <w:szCs w:val="24"/>
                <w:u w:val="none"/>
              </w:rPr>
              <m:t>i</m:t>
            </m:r>
          </m:sub>
        </m:sSub>
        <m:r>
          <w:rPr>
            <w:rStyle w:val="Hyperlink"/>
            <w:rFonts w:ascii="Cambria Math" w:hAnsi="Cambria Math" w:cs="Times New Roman"/>
            <w:color w:val="000000" w:themeColor="text1"/>
            <w:sz w:val="24"/>
            <w:szCs w:val="24"/>
            <w:u w:val="none"/>
          </w:rPr>
          <m:t>+σ.</m:t>
        </m:r>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Ex</m:t>
            </m:r>
          </m:e>
          <m:sub>
            <m:r>
              <w:rPr>
                <w:rStyle w:val="Hyperlink"/>
                <w:rFonts w:ascii="Cambria Math" w:hAnsi="Cambria Math" w:cs="Times New Roman"/>
                <w:color w:val="000000" w:themeColor="text1"/>
                <w:sz w:val="24"/>
                <w:szCs w:val="24"/>
                <w:u w:val="none"/>
              </w:rPr>
              <m:t>i</m:t>
            </m:r>
          </m:sub>
        </m:sSub>
        <m:r>
          <w:rPr>
            <w:rStyle w:val="Hyperlink"/>
            <w:rFonts w:ascii="Cambria Math" w:hAnsi="Cambria Math" w:cs="Times New Roman"/>
            <w:color w:val="000000" w:themeColor="text1"/>
            <w:sz w:val="24"/>
            <w:szCs w:val="24"/>
            <w:u w:val="none"/>
          </w:rPr>
          <m:t>+τ.</m:t>
        </m:r>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C16</m:t>
            </m:r>
          </m:e>
          <m:sub>
            <m:r>
              <w:rPr>
                <w:rStyle w:val="Hyperlink"/>
                <w:rFonts w:ascii="Cambria Math" w:hAnsi="Cambria Math" w:cs="Times New Roman"/>
                <w:color w:val="000000" w:themeColor="text1"/>
                <w:sz w:val="24"/>
                <w:szCs w:val="24"/>
                <w:u w:val="none"/>
              </w:rPr>
              <m:t>i</m:t>
            </m:r>
          </m:sub>
        </m:sSub>
        <m:r>
          <w:rPr>
            <w:rStyle w:val="Hyperlink"/>
            <w:rFonts w:ascii="Cambria Math" w:hAnsi="Cambria Math" w:cs="Times New Roman"/>
            <w:color w:val="000000" w:themeColor="text1"/>
            <w:sz w:val="24"/>
            <w:szCs w:val="24"/>
            <w:u w:val="none"/>
          </w:rPr>
          <m:t>+ω.</m:t>
        </m:r>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GCSE</m:t>
            </m:r>
          </m:e>
          <m:sub>
            <m:r>
              <w:rPr>
                <w:rStyle w:val="Hyperlink"/>
                <w:rFonts w:ascii="Cambria Math" w:hAnsi="Cambria Math" w:cs="Times New Roman"/>
                <w:color w:val="000000" w:themeColor="text1"/>
                <w:sz w:val="24"/>
                <w:szCs w:val="24"/>
                <w:u w:val="none"/>
              </w:rPr>
              <m:t>i</m:t>
            </m:r>
          </m:sub>
        </m:sSub>
      </m:oMath>
      <w:r w:rsidR="006F1D52" w:rsidRPr="0081090C">
        <w:rPr>
          <w:rStyle w:val="Hyperlink"/>
          <w:rFonts w:ascii="Times New Roman" w:eastAsiaTheme="minorEastAsia" w:hAnsi="Times New Roman" w:cs="Times New Roman"/>
          <w:color w:val="000000" w:themeColor="text1"/>
          <w:sz w:val="24"/>
          <w:szCs w:val="24"/>
          <w:u w:val="none"/>
        </w:rPr>
        <w:t xml:space="preserve"> </w:t>
      </w:r>
      <w:r w:rsidR="005022C3" w:rsidRPr="0081090C">
        <w:rPr>
          <w:rStyle w:val="Hyperlink"/>
          <w:rFonts w:ascii="Times New Roman" w:eastAsiaTheme="minorEastAsia" w:hAnsi="Times New Roman" w:cs="Times New Roman"/>
          <w:color w:val="000000" w:themeColor="text1"/>
          <w:sz w:val="24"/>
          <w:szCs w:val="24"/>
          <w:u w:val="none"/>
        </w:rPr>
        <w:t>(</w:t>
      </w:r>
      <w:r w:rsidR="006F1D52" w:rsidRPr="0081090C">
        <w:rPr>
          <w:rStyle w:val="Hyperlink"/>
          <w:rFonts w:ascii="Times New Roman" w:eastAsiaTheme="minorEastAsia" w:hAnsi="Times New Roman" w:cs="Times New Roman"/>
          <w:color w:val="000000" w:themeColor="text1"/>
          <w:sz w:val="24"/>
          <w:szCs w:val="24"/>
          <w:u w:val="none"/>
        </w:rPr>
        <w:t>2</w:t>
      </w:r>
      <w:r w:rsidR="005022C3" w:rsidRPr="0081090C">
        <w:rPr>
          <w:rStyle w:val="Hyperlink"/>
          <w:rFonts w:ascii="Times New Roman" w:eastAsiaTheme="minorEastAsia" w:hAnsi="Times New Roman" w:cs="Times New Roman"/>
          <w:color w:val="000000" w:themeColor="text1"/>
          <w:sz w:val="24"/>
          <w:szCs w:val="24"/>
          <w:u w:val="none"/>
        </w:rPr>
        <w:t>)</w:t>
      </w:r>
    </w:p>
    <w:p w14:paraId="26BBF4F2" w14:textId="02D72D6F" w:rsidR="005022C3" w:rsidRPr="0081090C" w:rsidRDefault="0098409E" w:rsidP="00D656E9">
      <w:pPr>
        <w:spacing w:line="360" w:lineRule="auto"/>
        <w:jc w:val="both"/>
        <w:rPr>
          <w:rStyle w:val="Hyperlink"/>
          <w:rFonts w:ascii="Times New Roman" w:hAnsi="Times New Roman" w:cs="Times New Roman"/>
          <w:color w:val="000000" w:themeColor="text1"/>
          <w:sz w:val="24"/>
          <w:szCs w:val="24"/>
          <w:u w:val="none"/>
        </w:rPr>
      </w:pPr>
      <w:r w:rsidRPr="0081090C">
        <w:rPr>
          <w:rStyle w:val="Hyperlink"/>
          <w:rFonts w:ascii="Times New Roman" w:hAnsi="Times New Roman" w:cs="Times New Roman"/>
          <w:color w:val="000000" w:themeColor="text1"/>
          <w:sz w:val="24"/>
          <w:szCs w:val="24"/>
          <w:u w:val="none"/>
        </w:rPr>
        <w:t>Where:</w:t>
      </w:r>
    </w:p>
    <w:p w14:paraId="3501532F" w14:textId="24F14BC8" w:rsidR="00D656E9" w:rsidRPr="0081090C" w:rsidRDefault="00000000" w:rsidP="0098409E">
      <w:pPr>
        <w:spacing w:line="360" w:lineRule="auto"/>
        <w:jc w:val="both"/>
        <w:rPr>
          <w:rStyle w:val="Hyperlink"/>
          <w:rFonts w:ascii="Times New Roman" w:hAnsi="Times New Roman" w:cs="Times New Roman"/>
          <w:color w:val="000000" w:themeColor="text1"/>
          <w:sz w:val="24"/>
          <w:szCs w:val="24"/>
          <w:u w:val="none"/>
        </w:rPr>
      </w:pP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C18</m:t>
            </m:r>
          </m:e>
          <m:sub>
            <m:r>
              <w:rPr>
                <w:rStyle w:val="Hyperlink"/>
                <w:rFonts w:ascii="Cambria Math" w:hAnsi="Cambria Math" w:cs="Times New Roman"/>
                <w:color w:val="000000" w:themeColor="text1"/>
                <w:sz w:val="24"/>
                <w:szCs w:val="24"/>
                <w:u w:val="none"/>
              </w:rPr>
              <m:t>i</m:t>
            </m:r>
          </m:sub>
        </m:sSub>
      </m:oMath>
      <w:r w:rsidR="0098409E" w:rsidRPr="0081090C">
        <w:rPr>
          <w:rStyle w:val="Hyperlink"/>
          <w:rFonts w:ascii="Times New Roman" w:eastAsiaTheme="minorEastAsia" w:hAnsi="Times New Roman" w:cs="Times New Roman"/>
          <w:color w:val="000000" w:themeColor="text1"/>
          <w:sz w:val="24"/>
          <w:szCs w:val="24"/>
          <w:u w:val="none"/>
        </w:rPr>
        <w:t xml:space="preserve"> = A binary outcome coded 1 if the individual was recorded as having </w:t>
      </w:r>
      <w:r w:rsidR="00824F5A">
        <w:rPr>
          <w:rStyle w:val="Hyperlink"/>
          <w:rFonts w:ascii="Times New Roman" w:eastAsiaTheme="minorEastAsia" w:hAnsi="Times New Roman" w:cs="Times New Roman"/>
          <w:color w:val="000000" w:themeColor="text1"/>
          <w:sz w:val="24"/>
          <w:szCs w:val="24"/>
          <w:u w:val="none"/>
        </w:rPr>
        <w:t>been</w:t>
      </w:r>
      <w:r w:rsidR="00D66A9C">
        <w:rPr>
          <w:rStyle w:val="Hyperlink"/>
          <w:rFonts w:ascii="Times New Roman" w:eastAsiaTheme="minorEastAsia" w:hAnsi="Times New Roman" w:cs="Times New Roman"/>
          <w:color w:val="000000" w:themeColor="text1"/>
          <w:sz w:val="24"/>
          <w:szCs w:val="24"/>
          <w:u w:val="none"/>
        </w:rPr>
        <w:t xml:space="preserve"> cautioned/sentenced</w:t>
      </w:r>
      <w:r w:rsidR="0098409E" w:rsidRPr="0081090C">
        <w:rPr>
          <w:rStyle w:val="Hyperlink"/>
          <w:rFonts w:ascii="Times New Roman" w:eastAsiaTheme="minorEastAsia" w:hAnsi="Times New Roman" w:cs="Times New Roman"/>
          <w:color w:val="000000" w:themeColor="text1"/>
          <w:sz w:val="24"/>
          <w:szCs w:val="24"/>
          <w:u w:val="none"/>
        </w:rPr>
        <w:t xml:space="preserve"> as an adult, and 0 otherwise.</w:t>
      </w:r>
    </w:p>
    <w:p w14:paraId="5A7FE978" w14:textId="20CC8EB3" w:rsidR="0098409E" w:rsidRPr="0081090C" w:rsidRDefault="00000000" w:rsidP="0098409E">
      <w:pPr>
        <w:spacing w:line="360" w:lineRule="auto"/>
        <w:jc w:val="both"/>
        <w:rPr>
          <w:rStyle w:val="Hyperlink"/>
          <w:rFonts w:ascii="Times New Roman" w:eastAsiaTheme="minorEastAsia" w:hAnsi="Times New Roman" w:cs="Times New Roman"/>
          <w:color w:val="000000" w:themeColor="text1"/>
          <w:sz w:val="24"/>
          <w:szCs w:val="24"/>
          <w:u w:val="none"/>
        </w:rPr>
      </w:pP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SES</m:t>
            </m:r>
          </m:e>
          <m:sub>
            <m:r>
              <w:rPr>
                <w:rStyle w:val="Hyperlink"/>
                <w:rFonts w:ascii="Cambria Math" w:hAnsi="Cambria Math" w:cs="Times New Roman"/>
                <w:color w:val="000000" w:themeColor="text1"/>
                <w:sz w:val="24"/>
                <w:szCs w:val="24"/>
                <w:u w:val="none"/>
              </w:rPr>
              <m:t>i</m:t>
            </m:r>
          </m:sub>
        </m:sSub>
      </m:oMath>
      <w:r w:rsidR="0098409E" w:rsidRPr="0081090C">
        <w:rPr>
          <w:rStyle w:val="Hyperlink"/>
          <w:rFonts w:ascii="Times New Roman" w:eastAsiaTheme="minorEastAsia" w:hAnsi="Times New Roman" w:cs="Times New Roman"/>
          <w:color w:val="000000" w:themeColor="text1"/>
          <w:sz w:val="24"/>
          <w:szCs w:val="24"/>
          <w:u w:val="none"/>
        </w:rPr>
        <w:t xml:space="preserve"> = A vector of dummy variables capturing </w:t>
      </w:r>
      <w:r w:rsidR="00824F5A">
        <w:rPr>
          <w:rStyle w:val="Hyperlink"/>
          <w:rFonts w:ascii="Times New Roman" w:eastAsiaTheme="minorEastAsia" w:hAnsi="Times New Roman" w:cs="Times New Roman"/>
          <w:color w:val="000000" w:themeColor="text1"/>
          <w:sz w:val="24"/>
          <w:szCs w:val="24"/>
          <w:u w:val="none"/>
        </w:rPr>
        <w:t>socio-economic status quartiles</w:t>
      </w:r>
      <w:r w:rsidR="0098409E" w:rsidRPr="0081090C">
        <w:rPr>
          <w:rStyle w:val="Hyperlink"/>
          <w:rFonts w:ascii="Times New Roman" w:eastAsiaTheme="minorEastAsia" w:hAnsi="Times New Roman" w:cs="Times New Roman"/>
          <w:color w:val="000000" w:themeColor="text1"/>
          <w:sz w:val="24"/>
          <w:szCs w:val="24"/>
          <w:u w:val="none"/>
        </w:rPr>
        <w:t>.</w:t>
      </w:r>
    </w:p>
    <w:p w14:paraId="5E89D8AD" w14:textId="77777777" w:rsidR="0098409E" w:rsidRPr="0081090C" w:rsidRDefault="00000000" w:rsidP="0098409E">
      <w:pPr>
        <w:spacing w:line="360" w:lineRule="auto"/>
        <w:jc w:val="both"/>
        <w:rPr>
          <w:rStyle w:val="Hyperlink"/>
          <w:rFonts w:ascii="Times New Roman" w:eastAsiaTheme="minorEastAsia" w:hAnsi="Times New Roman" w:cs="Times New Roman"/>
          <w:color w:val="000000" w:themeColor="text1"/>
          <w:sz w:val="24"/>
          <w:szCs w:val="24"/>
          <w:u w:val="none"/>
        </w:rPr>
      </w:pP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Ach</m:t>
            </m:r>
          </m:e>
          <m:sub>
            <m:r>
              <w:rPr>
                <w:rStyle w:val="Hyperlink"/>
                <w:rFonts w:ascii="Cambria Math" w:hAnsi="Cambria Math" w:cs="Times New Roman"/>
                <w:color w:val="000000" w:themeColor="text1"/>
                <w:sz w:val="24"/>
                <w:szCs w:val="24"/>
                <w:u w:val="none"/>
              </w:rPr>
              <m:t>i</m:t>
            </m:r>
          </m:sub>
        </m:sSub>
      </m:oMath>
      <w:r w:rsidR="0098409E" w:rsidRPr="0081090C">
        <w:rPr>
          <w:rStyle w:val="Hyperlink"/>
          <w:rFonts w:ascii="Times New Roman" w:eastAsiaTheme="minorEastAsia" w:hAnsi="Times New Roman" w:cs="Times New Roman"/>
          <w:color w:val="000000" w:themeColor="text1"/>
          <w:sz w:val="24"/>
          <w:szCs w:val="24"/>
          <w:u w:val="none"/>
        </w:rPr>
        <w:t xml:space="preserve"> = A vector of academic achievement measures at primary school, including Key Stage 1 and Key Stage 2 reading and mathematics test scores. </w:t>
      </w:r>
    </w:p>
    <w:p w14:paraId="694A3BD6" w14:textId="77777777" w:rsidR="0098409E" w:rsidRPr="0081090C" w:rsidRDefault="00000000" w:rsidP="0098409E">
      <w:pPr>
        <w:spacing w:line="360" w:lineRule="auto"/>
        <w:jc w:val="both"/>
        <w:rPr>
          <w:rStyle w:val="Hyperlink"/>
          <w:rFonts w:ascii="Times New Roman" w:eastAsiaTheme="minorEastAsia" w:hAnsi="Times New Roman" w:cs="Times New Roman"/>
          <w:color w:val="000000" w:themeColor="text1"/>
          <w:sz w:val="24"/>
          <w:szCs w:val="24"/>
          <w:u w:val="none"/>
        </w:rPr>
      </w:pP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Cohort</m:t>
            </m:r>
          </m:e>
          <m:sub>
            <m:r>
              <w:rPr>
                <w:rStyle w:val="Hyperlink"/>
                <w:rFonts w:ascii="Cambria Math" w:hAnsi="Cambria Math" w:cs="Times New Roman"/>
                <w:color w:val="000000" w:themeColor="text1"/>
                <w:sz w:val="24"/>
                <w:szCs w:val="24"/>
                <w:u w:val="none"/>
              </w:rPr>
              <m:t>i</m:t>
            </m:r>
          </m:sub>
        </m:sSub>
      </m:oMath>
      <w:r w:rsidR="0098409E" w:rsidRPr="0081090C">
        <w:rPr>
          <w:rStyle w:val="Hyperlink"/>
          <w:rFonts w:ascii="Times New Roman" w:eastAsiaTheme="minorEastAsia" w:hAnsi="Times New Roman" w:cs="Times New Roman"/>
          <w:color w:val="000000" w:themeColor="text1"/>
          <w:sz w:val="24"/>
          <w:szCs w:val="24"/>
          <w:u w:val="none"/>
        </w:rPr>
        <w:t xml:space="preserve"> = A vector of dummy variables reflecting the cohort.</w:t>
      </w:r>
    </w:p>
    <w:p w14:paraId="53560D55" w14:textId="28C98B8A" w:rsidR="0098409E" w:rsidRPr="0081090C" w:rsidRDefault="00000000" w:rsidP="0098409E">
      <w:pPr>
        <w:spacing w:line="360" w:lineRule="auto"/>
        <w:jc w:val="both"/>
        <w:rPr>
          <w:rStyle w:val="Hyperlink"/>
          <w:rFonts w:ascii="Times New Roman" w:eastAsiaTheme="minorEastAsia" w:hAnsi="Times New Roman" w:cs="Times New Roman"/>
          <w:color w:val="000000" w:themeColor="text1"/>
          <w:sz w:val="24"/>
          <w:szCs w:val="24"/>
          <w:u w:val="none"/>
        </w:rPr>
      </w:pP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Ab</m:t>
            </m:r>
          </m:e>
          <m:sub>
            <m:r>
              <w:rPr>
                <w:rStyle w:val="Hyperlink"/>
                <w:rFonts w:ascii="Cambria Math" w:hAnsi="Cambria Math" w:cs="Times New Roman"/>
                <w:color w:val="000000" w:themeColor="text1"/>
                <w:sz w:val="24"/>
                <w:szCs w:val="24"/>
                <w:u w:val="none"/>
              </w:rPr>
              <m:t>i</m:t>
            </m:r>
          </m:sub>
        </m:sSub>
      </m:oMath>
      <w:r w:rsidR="0098409E" w:rsidRPr="0081090C">
        <w:rPr>
          <w:rStyle w:val="Hyperlink"/>
          <w:rFonts w:ascii="Times New Roman" w:eastAsiaTheme="minorEastAsia" w:hAnsi="Times New Roman" w:cs="Times New Roman"/>
          <w:color w:val="000000" w:themeColor="text1"/>
          <w:sz w:val="24"/>
          <w:szCs w:val="24"/>
          <w:u w:val="none"/>
        </w:rPr>
        <w:t xml:space="preserve"> = The average rate of pupil attendance during secondary school.</w:t>
      </w:r>
    </w:p>
    <w:p w14:paraId="036E60BC" w14:textId="3822B453" w:rsidR="0098409E" w:rsidRPr="00085C60" w:rsidRDefault="00000000" w:rsidP="0098409E">
      <w:pPr>
        <w:spacing w:line="360" w:lineRule="auto"/>
        <w:jc w:val="both"/>
        <w:rPr>
          <w:rStyle w:val="Hyperlink"/>
          <w:rFonts w:ascii="Times New Roman" w:eastAsiaTheme="minorEastAsia" w:hAnsi="Times New Roman" w:cs="Times New Roman"/>
          <w:color w:val="000000" w:themeColor="text1"/>
          <w:sz w:val="24"/>
          <w:szCs w:val="24"/>
          <w:u w:val="none"/>
        </w:rPr>
      </w:pP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Ex</m:t>
            </m:r>
          </m:e>
          <m:sub>
            <m:r>
              <w:rPr>
                <w:rStyle w:val="Hyperlink"/>
                <w:rFonts w:ascii="Cambria Math" w:hAnsi="Cambria Math" w:cs="Times New Roman"/>
                <w:color w:val="000000" w:themeColor="text1"/>
                <w:sz w:val="24"/>
                <w:szCs w:val="24"/>
                <w:u w:val="none"/>
              </w:rPr>
              <m:t>i</m:t>
            </m:r>
          </m:sub>
        </m:sSub>
      </m:oMath>
      <w:r w:rsidR="0098409E" w:rsidRPr="00085C60">
        <w:rPr>
          <w:rStyle w:val="Hyperlink"/>
          <w:rFonts w:ascii="Times New Roman" w:eastAsiaTheme="minorEastAsia" w:hAnsi="Times New Roman" w:cs="Times New Roman"/>
          <w:color w:val="000000" w:themeColor="text1"/>
          <w:sz w:val="24"/>
          <w:szCs w:val="24"/>
          <w:u w:val="none"/>
        </w:rPr>
        <w:t xml:space="preserve"> = The number of times the individual was excluded during secondary school</w:t>
      </w:r>
      <w:r w:rsidR="007C607F" w:rsidRPr="00085C60">
        <w:rPr>
          <w:rStyle w:val="Hyperlink"/>
          <w:rFonts w:ascii="Times New Roman" w:eastAsiaTheme="minorEastAsia" w:hAnsi="Times New Roman" w:cs="Times New Roman"/>
          <w:color w:val="000000" w:themeColor="text1"/>
          <w:sz w:val="24"/>
          <w:szCs w:val="24"/>
          <w:u w:val="none"/>
        </w:rPr>
        <w:t>.</w:t>
      </w:r>
    </w:p>
    <w:p w14:paraId="33234689" w14:textId="337E175D" w:rsidR="00102316" w:rsidRPr="0081090C" w:rsidRDefault="00000000" w:rsidP="0098409E">
      <w:pPr>
        <w:spacing w:line="360" w:lineRule="auto"/>
        <w:jc w:val="both"/>
        <w:rPr>
          <w:rStyle w:val="Hyperlink"/>
          <w:rFonts w:ascii="Times New Roman" w:eastAsiaTheme="minorEastAsia" w:hAnsi="Times New Roman" w:cs="Times New Roman"/>
          <w:color w:val="000000" w:themeColor="text1"/>
          <w:sz w:val="24"/>
          <w:szCs w:val="24"/>
          <w:u w:val="none"/>
        </w:rPr>
      </w:pP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C16</m:t>
            </m:r>
          </m:e>
          <m:sub>
            <m:r>
              <w:rPr>
                <w:rStyle w:val="Hyperlink"/>
                <w:rFonts w:ascii="Cambria Math" w:hAnsi="Cambria Math" w:cs="Times New Roman"/>
                <w:color w:val="000000" w:themeColor="text1"/>
                <w:sz w:val="24"/>
                <w:szCs w:val="24"/>
                <w:u w:val="none"/>
              </w:rPr>
              <m:t>i</m:t>
            </m:r>
          </m:sub>
        </m:sSub>
      </m:oMath>
      <w:r w:rsidR="0098409E" w:rsidRPr="00085C60">
        <w:rPr>
          <w:rStyle w:val="Hyperlink"/>
          <w:rFonts w:ascii="Times New Roman" w:eastAsiaTheme="minorEastAsia" w:hAnsi="Times New Roman" w:cs="Times New Roman"/>
          <w:color w:val="000000" w:themeColor="text1"/>
          <w:sz w:val="24"/>
          <w:szCs w:val="24"/>
          <w:u w:val="none"/>
        </w:rPr>
        <w:t xml:space="preserve"> =</w:t>
      </w:r>
      <w:r w:rsidR="007C607F" w:rsidRPr="00085C60">
        <w:rPr>
          <w:rStyle w:val="Hyperlink"/>
          <w:rFonts w:ascii="Times New Roman" w:eastAsiaTheme="minorEastAsia" w:hAnsi="Times New Roman" w:cs="Times New Roman"/>
          <w:color w:val="000000" w:themeColor="text1"/>
          <w:sz w:val="24"/>
          <w:szCs w:val="24"/>
          <w:u w:val="none"/>
        </w:rPr>
        <w:t xml:space="preserve"> The number of times the individual was </w:t>
      </w:r>
      <w:r w:rsidR="006B5D40" w:rsidRPr="00085C60">
        <w:rPr>
          <w:rStyle w:val="Hyperlink"/>
          <w:rFonts w:ascii="Times New Roman" w:eastAsiaTheme="minorEastAsia" w:hAnsi="Times New Roman" w:cs="Times New Roman"/>
          <w:color w:val="000000" w:themeColor="text1"/>
          <w:sz w:val="24"/>
          <w:szCs w:val="24"/>
          <w:u w:val="none"/>
        </w:rPr>
        <w:t>cautioned or sentenced</w:t>
      </w:r>
      <w:r w:rsidR="007C607F" w:rsidRPr="00085C60">
        <w:rPr>
          <w:rStyle w:val="Hyperlink"/>
          <w:rFonts w:ascii="Times New Roman" w:eastAsiaTheme="minorEastAsia" w:hAnsi="Times New Roman" w:cs="Times New Roman"/>
          <w:color w:val="000000" w:themeColor="text1"/>
          <w:sz w:val="24"/>
          <w:szCs w:val="24"/>
          <w:u w:val="none"/>
        </w:rPr>
        <w:t xml:space="preserve"> during secondary school.</w:t>
      </w:r>
    </w:p>
    <w:p w14:paraId="60554A07" w14:textId="73B0EA4C" w:rsidR="00102316" w:rsidRPr="0081090C" w:rsidRDefault="00000000" w:rsidP="0098409E">
      <w:pPr>
        <w:spacing w:line="360" w:lineRule="auto"/>
        <w:jc w:val="both"/>
        <w:rPr>
          <w:rStyle w:val="Hyperlink"/>
          <w:rFonts w:ascii="Times New Roman" w:eastAsiaTheme="minorEastAsia" w:hAnsi="Times New Roman" w:cs="Times New Roman"/>
          <w:color w:val="000000" w:themeColor="text1"/>
          <w:sz w:val="24"/>
          <w:szCs w:val="24"/>
          <w:u w:val="none"/>
        </w:rPr>
      </w:pP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GCSE</m:t>
            </m:r>
          </m:e>
          <m:sub>
            <m:r>
              <w:rPr>
                <w:rStyle w:val="Hyperlink"/>
                <w:rFonts w:ascii="Cambria Math" w:hAnsi="Cambria Math" w:cs="Times New Roman"/>
                <w:color w:val="000000" w:themeColor="text1"/>
                <w:sz w:val="24"/>
                <w:szCs w:val="24"/>
                <w:u w:val="none"/>
              </w:rPr>
              <m:t>i</m:t>
            </m:r>
          </m:sub>
        </m:sSub>
      </m:oMath>
      <w:r w:rsidR="0098409E" w:rsidRPr="0081090C">
        <w:rPr>
          <w:rStyle w:val="Hyperlink"/>
          <w:rFonts w:ascii="Times New Roman" w:eastAsiaTheme="minorEastAsia" w:hAnsi="Times New Roman" w:cs="Times New Roman"/>
          <w:color w:val="000000" w:themeColor="text1"/>
          <w:sz w:val="24"/>
          <w:szCs w:val="24"/>
          <w:u w:val="none"/>
        </w:rPr>
        <w:t xml:space="preserve"> =</w:t>
      </w:r>
      <w:r w:rsidR="00102316" w:rsidRPr="0081090C">
        <w:rPr>
          <w:rStyle w:val="Hyperlink"/>
          <w:rFonts w:ascii="Times New Roman" w:eastAsiaTheme="minorEastAsia" w:hAnsi="Times New Roman" w:cs="Times New Roman"/>
          <w:color w:val="000000" w:themeColor="text1"/>
          <w:sz w:val="24"/>
          <w:szCs w:val="24"/>
          <w:u w:val="none"/>
        </w:rPr>
        <w:t xml:space="preserve"> Grades achieved in age 16 national GCSE examinations, as captured by overall GCSE point scores and mathematics/English Language grades.</w:t>
      </w:r>
    </w:p>
    <w:p w14:paraId="6CDEDC5C" w14:textId="25AD107E" w:rsidR="0098409E" w:rsidRPr="0081090C" w:rsidRDefault="0098409E" w:rsidP="0098409E">
      <w:pPr>
        <w:spacing w:line="360" w:lineRule="auto"/>
        <w:jc w:val="both"/>
        <w:rPr>
          <w:rStyle w:val="Hyperlink"/>
          <w:rFonts w:ascii="Times New Roman" w:eastAsiaTheme="minorEastAsia" w:hAnsi="Times New Roman" w:cs="Times New Roman"/>
          <w:color w:val="000000" w:themeColor="text1"/>
          <w:sz w:val="24"/>
          <w:szCs w:val="24"/>
          <w:u w:val="none"/>
        </w:rPr>
      </w:pPr>
      <w:r w:rsidRPr="0081090C">
        <w:rPr>
          <w:rStyle w:val="Hyperlink"/>
          <w:rFonts w:ascii="Times New Roman" w:eastAsiaTheme="minorEastAsia" w:hAnsi="Times New Roman" w:cs="Times New Roman"/>
          <w:color w:val="000000" w:themeColor="text1"/>
          <w:sz w:val="24"/>
          <w:szCs w:val="24"/>
          <w:u w:val="none"/>
        </w:rPr>
        <w:t>i = Individual i.</w:t>
      </w:r>
    </w:p>
    <w:p w14:paraId="732C1A75" w14:textId="470A205F" w:rsidR="0098409E" w:rsidRPr="0081090C" w:rsidRDefault="00102316" w:rsidP="0098409E">
      <w:pPr>
        <w:spacing w:line="360" w:lineRule="auto"/>
        <w:jc w:val="both"/>
        <w:rPr>
          <w:rStyle w:val="Hyperlink"/>
          <w:rFonts w:ascii="Times New Roman" w:eastAsiaTheme="minorEastAsia" w:hAnsi="Times New Roman" w:cs="Times New Roman"/>
          <w:color w:val="000000" w:themeColor="text1"/>
          <w:sz w:val="24"/>
          <w:szCs w:val="24"/>
          <w:u w:val="none"/>
        </w:rPr>
      </w:pPr>
      <w:r w:rsidRPr="0081090C">
        <w:rPr>
          <w:rStyle w:val="Hyperlink"/>
          <w:rFonts w:ascii="Times New Roman" w:hAnsi="Times New Roman" w:cs="Times New Roman"/>
          <w:color w:val="000000" w:themeColor="text1"/>
          <w:sz w:val="24"/>
          <w:szCs w:val="24"/>
          <w:u w:val="none"/>
        </w:rPr>
        <w:t xml:space="preserve">Five specifications of this model are estimated, </w:t>
      </w:r>
      <w:r w:rsidR="00BE75C1" w:rsidRPr="0081090C">
        <w:rPr>
          <w:rStyle w:val="Hyperlink"/>
          <w:rFonts w:ascii="Times New Roman" w:hAnsi="Times New Roman" w:cs="Times New Roman"/>
          <w:color w:val="000000" w:themeColor="text1"/>
          <w:sz w:val="24"/>
          <w:szCs w:val="24"/>
          <w:u w:val="none"/>
        </w:rPr>
        <w:t>each including additional sets of controls. The baseline model (M0) include</w:t>
      </w:r>
      <w:r w:rsidR="008F4FE6" w:rsidRPr="0081090C">
        <w:rPr>
          <w:rStyle w:val="Hyperlink"/>
          <w:rFonts w:ascii="Times New Roman" w:hAnsi="Times New Roman" w:cs="Times New Roman"/>
          <w:color w:val="000000" w:themeColor="text1"/>
          <w:sz w:val="24"/>
          <w:szCs w:val="24"/>
          <w:u w:val="none"/>
        </w:rPr>
        <w:t>s socio-economic group (</w:t>
      </w: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Grp</m:t>
            </m:r>
          </m:e>
          <m:sub>
            <m:r>
              <w:rPr>
                <w:rStyle w:val="Hyperlink"/>
                <w:rFonts w:ascii="Cambria Math" w:hAnsi="Cambria Math" w:cs="Times New Roman"/>
                <w:color w:val="000000" w:themeColor="text1"/>
                <w:sz w:val="24"/>
                <w:szCs w:val="24"/>
                <w:u w:val="none"/>
              </w:rPr>
              <m:t>i</m:t>
            </m:r>
          </m:sub>
        </m:sSub>
      </m:oMath>
      <w:r w:rsidR="008F4FE6" w:rsidRPr="0081090C">
        <w:rPr>
          <w:rStyle w:val="Hyperlink"/>
          <w:rFonts w:ascii="Times New Roman" w:hAnsi="Times New Roman" w:cs="Times New Roman"/>
          <w:color w:val="000000" w:themeColor="text1"/>
          <w:sz w:val="24"/>
          <w:szCs w:val="24"/>
          <w:u w:val="none"/>
        </w:rPr>
        <w:t>), background controls (</w:t>
      </w: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D</m:t>
            </m:r>
          </m:e>
          <m:sub>
            <m:r>
              <w:rPr>
                <w:rStyle w:val="Hyperlink"/>
                <w:rFonts w:ascii="Cambria Math" w:hAnsi="Cambria Math" w:cs="Times New Roman"/>
                <w:color w:val="000000" w:themeColor="text1"/>
                <w:sz w:val="24"/>
                <w:szCs w:val="24"/>
                <w:u w:val="none"/>
              </w:rPr>
              <m:t>i</m:t>
            </m:r>
          </m:sub>
        </m:sSub>
      </m:oMath>
      <w:r w:rsidR="008F4FE6" w:rsidRPr="0081090C">
        <w:rPr>
          <w:rStyle w:val="Hyperlink"/>
          <w:rFonts w:ascii="Times New Roman" w:hAnsi="Times New Roman" w:cs="Times New Roman"/>
          <w:color w:val="000000" w:themeColor="text1"/>
          <w:sz w:val="24"/>
          <w:szCs w:val="24"/>
          <w:u w:val="none"/>
        </w:rPr>
        <w:t>)</w:t>
      </w:r>
      <w:r w:rsidR="00BA56FB" w:rsidRPr="0081090C">
        <w:rPr>
          <w:rStyle w:val="Hyperlink"/>
          <w:rFonts w:ascii="Times New Roman" w:hAnsi="Times New Roman" w:cs="Times New Roman"/>
          <w:color w:val="000000" w:themeColor="text1"/>
          <w:sz w:val="24"/>
          <w:szCs w:val="24"/>
          <w:u w:val="none"/>
        </w:rPr>
        <w:t>, academic achievement during primary school (</w:t>
      </w: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Ach</m:t>
            </m:r>
          </m:e>
          <m:sub>
            <m:r>
              <w:rPr>
                <w:rStyle w:val="Hyperlink"/>
                <w:rFonts w:ascii="Cambria Math" w:hAnsi="Cambria Math" w:cs="Times New Roman"/>
                <w:color w:val="000000" w:themeColor="text1"/>
                <w:sz w:val="24"/>
                <w:szCs w:val="24"/>
                <w:u w:val="none"/>
              </w:rPr>
              <m:t>i</m:t>
            </m:r>
          </m:sub>
        </m:sSub>
      </m:oMath>
      <w:r w:rsidR="00BA56FB" w:rsidRPr="0081090C">
        <w:rPr>
          <w:rStyle w:val="Hyperlink"/>
          <w:rFonts w:ascii="Times New Roman" w:eastAsiaTheme="minorEastAsia" w:hAnsi="Times New Roman" w:cs="Times New Roman"/>
          <w:color w:val="000000" w:themeColor="text1"/>
          <w:sz w:val="24"/>
          <w:szCs w:val="24"/>
          <w:u w:val="none"/>
        </w:rPr>
        <w:t>) and cohort (</w:t>
      </w: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Cohort</m:t>
            </m:r>
          </m:e>
          <m:sub>
            <m:r>
              <w:rPr>
                <w:rStyle w:val="Hyperlink"/>
                <w:rFonts w:ascii="Cambria Math" w:hAnsi="Cambria Math" w:cs="Times New Roman"/>
                <w:color w:val="000000" w:themeColor="text1"/>
                <w:sz w:val="24"/>
                <w:szCs w:val="24"/>
                <w:u w:val="none"/>
              </w:rPr>
              <m:t>i</m:t>
            </m:r>
          </m:sub>
        </m:sSub>
      </m:oMath>
      <w:r w:rsidR="00BA56FB" w:rsidRPr="0081090C">
        <w:rPr>
          <w:rStyle w:val="Hyperlink"/>
          <w:rFonts w:ascii="Times New Roman" w:eastAsiaTheme="minorEastAsia" w:hAnsi="Times New Roman" w:cs="Times New Roman"/>
          <w:color w:val="000000" w:themeColor="text1"/>
          <w:sz w:val="24"/>
          <w:szCs w:val="24"/>
          <w:u w:val="none"/>
        </w:rPr>
        <w:t xml:space="preserve">) as the only covariates. The </w:t>
      </w:r>
      <m:oMath>
        <m:r>
          <w:rPr>
            <w:rStyle w:val="Hyperlink"/>
            <w:rFonts w:ascii="Cambria Math" w:eastAsiaTheme="minorEastAsia" w:hAnsi="Cambria Math" w:cs="Times New Roman"/>
            <w:color w:val="000000" w:themeColor="text1"/>
            <w:sz w:val="24"/>
            <w:szCs w:val="24"/>
            <w:u w:val="none"/>
          </w:rPr>
          <m:t>β</m:t>
        </m:r>
      </m:oMath>
      <w:r w:rsidR="00BA56FB" w:rsidRPr="0081090C">
        <w:rPr>
          <w:rStyle w:val="Hyperlink"/>
          <w:rFonts w:ascii="Times New Roman" w:eastAsiaTheme="minorEastAsia" w:hAnsi="Times New Roman" w:cs="Times New Roman"/>
          <w:color w:val="000000" w:themeColor="text1"/>
          <w:sz w:val="24"/>
          <w:szCs w:val="24"/>
          <w:u w:val="none"/>
        </w:rPr>
        <w:t xml:space="preserve"> parameter thus captures differences across high-achieving young people with similar levels of academic skills and backgrounds at the end of primary education. Model M1 then includes a control for secondary school absences (</w:t>
      </w: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Ab</m:t>
            </m:r>
          </m:e>
          <m:sub>
            <m:r>
              <w:rPr>
                <w:rStyle w:val="Hyperlink"/>
                <w:rFonts w:ascii="Cambria Math" w:hAnsi="Cambria Math" w:cs="Times New Roman"/>
                <w:color w:val="000000" w:themeColor="text1"/>
                <w:sz w:val="24"/>
                <w:szCs w:val="24"/>
                <w:u w:val="none"/>
              </w:rPr>
              <m:t>i</m:t>
            </m:r>
          </m:sub>
        </m:sSub>
      </m:oMath>
      <w:r w:rsidR="00BA56FB" w:rsidRPr="0081090C">
        <w:rPr>
          <w:rStyle w:val="Hyperlink"/>
          <w:rFonts w:ascii="Times New Roman" w:eastAsiaTheme="minorEastAsia" w:hAnsi="Times New Roman" w:cs="Times New Roman"/>
          <w:color w:val="000000" w:themeColor="text1"/>
          <w:sz w:val="24"/>
          <w:szCs w:val="24"/>
          <w:u w:val="none"/>
        </w:rPr>
        <w:t>)</w:t>
      </w:r>
      <w:r w:rsidR="00BD0B23" w:rsidRPr="0081090C">
        <w:rPr>
          <w:rStyle w:val="Hyperlink"/>
          <w:rFonts w:ascii="Times New Roman" w:eastAsiaTheme="minorEastAsia" w:hAnsi="Times New Roman" w:cs="Times New Roman"/>
          <w:color w:val="000000" w:themeColor="text1"/>
          <w:sz w:val="24"/>
          <w:szCs w:val="24"/>
          <w:u w:val="none"/>
        </w:rPr>
        <w:t>, with secondary school exclusions (</w:t>
      </w: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Ex</m:t>
            </m:r>
          </m:e>
          <m:sub>
            <m:r>
              <w:rPr>
                <w:rStyle w:val="Hyperlink"/>
                <w:rFonts w:ascii="Cambria Math" w:hAnsi="Cambria Math" w:cs="Times New Roman"/>
                <w:color w:val="000000" w:themeColor="text1"/>
                <w:sz w:val="24"/>
                <w:szCs w:val="24"/>
                <w:u w:val="none"/>
              </w:rPr>
              <m:t>i</m:t>
            </m:r>
          </m:sub>
        </m:sSub>
      </m:oMath>
      <w:r w:rsidR="00BD0B23" w:rsidRPr="0081090C">
        <w:rPr>
          <w:rStyle w:val="Hyperlink"/>
          <w:rFonts w:ascii="Times New Roman" w:eastAsiaTheme="minorEastAsia" w:hAnsi="Times New Roman" w:cs="Times New Roman"/>
          <w:color w:val="000000" w:themeColor="text1"/>
          <w:sz w:val="24"/>
          <w:szCs w:val="24"/>
          <w:u w:val="none"/>
        </w:rPr>
        <w:t xml:space="preserve">) and secondary school </w:t>
      </w:r>
      <w:r w:rsidR="006B5D40">
        <w:rPr>
          <w:rStyle w:val="Hyperlink"/>
          <w:rFonts w:ascii="Times New Roman" w:eastAsiaTheme="minorEastAsia" w:hAnsi="Times New Roman" w:cs="Times New Roman"/>
          <w:color w:val="000000" w:themeColor="text1"/>
          <w:sz w:val="24"/>
          <w:szCs w:val="24"/>
          <w:u w:val="none"/>
        </w:rPr>
        <w:t>cautions/sentences</w:t>
      </w:r>
      <w:r w:rsidR="00BD0B23" w:rsidRPr="0081090C">
        <w:rPr>
          <w:rStyle w:val="Hyperlink"/>
          <w:rFonts w:ascii="Times New Roman" w:eastAsiaTheme="minorEastAsia" w:hAnsi="Times New Roman" w:cs="Times New Roman"/>
          <w:color w:val="000000" w:themeColor="text1"/>
          <w:sz w:val="24"/>
          <w:szCs w:val="24"/>
          <w:u w:val="none"/>
        </w:rPr>
        <w:t xml:space="preserve"> (</w:t>
      </w:r>
      <m:oMath>
        <m:sSub>
          <m:sSubPr>
            <m:ctrlPr>
              <w:rPr>
                <w:rStyle w:val="Hyperlink"/>
                <w:rFonts w:ascii="Cambria Math" w:hAnsi="Cambria Math" w:cs="Times New Roman"/>
                <w:i/>
                <w:color w:val="000000" w:themeColor="text1"/>
                <w:sz w:val="24"/>
                <w:szCs w:val="24"/>
                <w:u w:val="none"/>
              </w:rPr>
            </m:ctrlPr>
          </m:sSubPr>
          <m:e>
            <m:r>
              <w:rPr>
                <w:rStyle w:val="Hyperlink"/>
                <w:rFonts w:ascii="Cambria Math" w:hAnsi="Cambria Math" w:cs="Times New Roman"/>
                <w:color w:val="000000" w:themeColor="text1"/>
                <w:sz w:val="24"/>
                <w:szCs w:val="24"/>
                <w:u w:val="none"/>
              </w:rPr>
              <m:t>C16</m:t>
            </m:r>
          </m:e>
          <m:sub>
            <m:r>
              <w:rPr>
                <w:rStyle w:val="Hyperlink"/>
                <w:rFonts w:ascii="Cambria Math" w:hAnsi="Cambria Math" w:cs="Times New Roman"/>
                <w:color w:val="000000" w:themeColor="text1"/>
                <w:sz w:val="24"/>
                <w:szCs w:val="24"/>
                <w:u w:val="none"/>
              </w:rPr>
              <m:t>i</m:t>
            </m:r>
          </m:sub>
        </m:sSub>
      </m:oMath>
      <w:r w:rsidR="00BD0B23" w:rsidRPr="0081090C">
        <w:rPr>
          <w:rStyle w:val="Hyperlink"/>
          <w:rFonts w:ascii="Times New Roman" w:eastAsiaTheme="minorEastAsia" w:hAnsi="Times New Roman" w:cs="Times New Roman"/>
          <w:color w:val="000000" w:themeColor="text1"/>
          <w:sz w:val="24"/>
          <w:szCs w:val="24"/>
          <w:u w:val="none"/>
        </w:rPr>
        <w:t xml:space="preserve">) added in specifications M2 and M3. Our primary interest is how the </w:t>
      </w:r>
      <m:oMath>
        <m:r>
          <w:rPr>
            <w:rStyle w:val="Hyperlink"/>
            <w:rFonts w:ascii="Cambria Math" w:eastAsiaTheme="minorEastAsia" w:hAnsi="Cambria Math" w:cs="Times New Roman"/>
            <w:color w:val="000000" w:themeColor="text1"/>
            <w:sz w:val="24"/>
            <w:szCs w:val="24"/>
            <w:u w:val="none"/>
          </w:rPr>
          <m:t>β</m:t>
        </m:r>
      </m:oMath>
      <w:r w:rsidR="005867FE" w:rsidRPr="0081090C">
        <w:rPr>
          <w:rStyle w:val="Hyperlink"/>
          <w:rFonts w:ascii="Times New Roman" w:eastAsiaTheme="minorEastAsia" w:hAnsi="Times New Roman" w:cs="Times New Roman"/>
          <w:color w:val="000000" w:themeColor="text1"/>
          <w:sz w:val="24"/>
          <w:szCs w:val="24"/>
          <w:u w:val="none"/>
        </w:rPr>
        <w:t xml:space="preserve"> parameter changes across these model specifications; to what extent can differences in these markers of troublesome behaviour during </w:t>
      </w:r>
      <w:r w:rsidR="00E710E7" w:rsidRPr="0081090C">
        <w:rPr>
          <w:rStyle w:val="Hyperlink"/>
          <w:rFonts w:ascii="Times New Roman" w:eastAsiaTheme="minorEastAsia" w:hAnsi="Times New Roman" w:cs="Times New Roman"/>
          <w:color w:val="000000" w:themeColor="text1"/>
          <w:sz w:val="24"/>
          <w:szCs w:val="24"/>
          <w:u w:val="none"/>
        </w:rPr>
        <w:t>secondary</w:t>
      </w:r>
      <w:r w:rsidR="005867FE" w:rsidRPr="0081090C">
        <w:rPr>
          <w:rStyle w:val="Hyperlink"/>
          <w:rFonts w:ascii="Times New Roman" w:eastAsiaTheme="minorEastAsia" w:hAnsi="Times New Roman" w:cs="Times New Roman"/>
          <w:color w:val="000000" w:themeColor="text1"/>
          <w:sz w:val="24"/>
          <w:szCs w:val="24"/>
          <w:u w:val="none"/>
        </w:rPr>
        <w:t xml:space="preserve"> school jointly explain the socio-economic gap in initially high-achieving children’s </w:t>
      </w:r>
      <w:r w:rsidR="00C6195A">
        <w:rPr>
          <w:rStyle w:val="Hyperlink"/>
          <w:rFonts w:ascii="Times New Roman" w:eastAsiaTheme="minorEastAsia" w:hAnsi="Times New Roman" w:cs="Times New Roman"/>
          <w:color w:val="000000" w:themeColor="text1"/>
          <w:sz w:val="24"/>
          <w:szCs w:val="24"/>
          <w:u w:val="none"/>
        </w:rPr>
        <w:t>receipt of criminal cautions/sentences</w:t>
      </w:r>
      <w:r w:rsidR="005867FE" w:rsidRPr="0081090C">
        <w:rPr>
          <w:rStyle w:val="Hyperlink"/>
          <w:rFonts w:ascii="Times New Roman" w:eastAsiaTheme="minorEastAsia" w:hAnsi="Times New Roman" w:cs="Times New Roman"/>
          <w:color w:val="000000" w:themeColor="text1"/>
          <w:sz w:val="24"/>
          <w:szCs w:val="24"/>
          <w:u w:val="none"/>
        </w:rPr>
        <w:t xml:space="preserve"> as adults?</w:t>
      </w:r>
      <w:r w:rsidR="00E710E7" w:rsidRPr="0081090C">
        <w:rPr>
          <w:rStyle w:val="Hyperlink"/>
          <w:rFonts w:ascii="Times New Roman" w:eastAsiaTheme="minorEastAsia" w:hAnsi="Times New Roman" w:cs="Times New Roman"/>
          <w:color w:val="000000" w:themeColor="text1"/>
          <w:sz w:val="24"/>
          <w:szCs w:val="24"/>
          <w:u w:val="none"/>
        </w:rPr>
        <w:t xml:space="preserve"> The final model specification (M4) additionally controls for GCSE grades to investigate </w:t>
      </w:r>
      <w:r w:rsidR="00824F5A">
        <w:rPr>
          <w:rStyle w:val="Hyperlink"/>
          <w:rFonts w:ascii="Times New Roman" w:eastAsiaTheme="minorEastAsia" w:hAnsi="Times New Roman" w:cs="Times New Roman"/>
          <w:color w:val="000000" w:themeColor="text1"/>
          <w:sz w:val="24"/>
          <w:szCs w:val="24"/>
          <w:u w:val="none"/>
        </w:rPr>
        <w:t>whether</w:t>
      </w:r>
      <w:r w:rsidR="00171BCE" w:rsidRPr="0081090C">
        <w:rPr>
          <w:rStyle w:val="Hyperlink"/>
          <w:rFonts w:ascii="Times New Roman" w:eastAsiaTheme="minorEastAsia" w:hAnsi="Times New Roman" w:cs="Times New Roman"/>
          <w:color w:val="000000" w:themeColor="text1"/>
          <w:sz w:val="24"/>
          <w:szCs w:val="24"/>
          <w:u w:val="none"/>
        </w:rPr>
        <w:t xml:space="preserve"> academic achievement at the end of secondary school can further explain the socio-economic gap in initially high-achieving children’s </w:t>
      </w:r>
      <w:r w:rsidR="00824F5A">
        <w:rPr>
          <w:rStyle w:val="Hyperlink"/>
          <w:rFonts w:ascii="Times New Roman" w:eastAsiaTheme="minorEastAsia" w:hAnsi="Times New Roman" w:cs="Times New Roman"/>
          <w:color w:val="000000" w:themeColor="text1"/>
          <w:sz w:val="24"/>
          <w:szCs w:val="24"/>
          <w:u w:val="none"/>
        </w:rPr>
        <w:t>propensity to be cautioned/sentenced as adults</w:t>
      </w:r>
      <w:r w:rsidR="00171BCE" w:rsidRPr="0081090C">
        <w:rPr>
          <w:rStyle w:val="Hyperlink"/>
          <w:rFonts w:ascii="Times New Roman" w:eastAsiaTheme="minorEastAsia" w:hAnsi="Times New Roman" w:cs="Times New Roman"/>
          <w:color w:val="000000" w:themeColor="text1"/>
          <w:sz w:val="24"/>
          <w:szCs w:val="24"/>
          <w:u w:val="none"/>
        </w:rPr>
        <w:t>.</w:t>
      </w:r>
    </w:p>
    <w:p w14:paraId="4D6FE959" w14:textId="31EE98CC" w:rsidR="00171BCE" w:rsidRPr="0081090C" w:rsidRDefault="00171BCE" w:rsidP="0098409E">
      <w:pPr>
        <w:spacing w:line="360" w:lineRule="auto"/>
        <w:jc w:val="both"/>
        <w:rPr>
          <w:rStyle w:val="Hyperlink"/>
          <w:rFonts w:ascii="Times New Roman" w:hAnsi="Times New Roman" w:cs="Times New Roman"/>
          <w:color w:val="000000" w:themeColor="text1"/>
          <w:sz w:val="24"/>
          <w:szCs w:val="24"/>
          <w:u w:val="none"/>
        </w:rPr>
      </w:pPr>
      <w:r w:rsidRPr="0081090C">
        <w:rPr>
          <w:rStyle w:val="Hyperlink"/>
          <w:rFonts w:ascii="Times New Roman" w:eastAsiaTheme="minorEastAsia" w:hAnsi="Times New Roman" w:cs="Times New Roman"/>
          <w:color w:val="000000" w:themeColor="text1"/>
          <w:sz w:val="24"/>
          <w:szCs w:val="24"/>
          <w:u w:val="none"/>
        </w:rPr>
        <w:t xml:space="preserve">A similar logistic regression modelling approach is then used to investigate differences in </w:t>
      </w:r>
      <w:r w:rsidR="00C6195A">
        <w:rPr>
          <w:rStyle w:val="Hyperlink"/>
          <w:rFonts w:ascii="Times New Roman" w:eastAsiaTheme="minorEastAsia" w:hAnsi="Times New Roman" w:cs="Times New Roman"/>
          <w:color w:val="000000" w:themeColor="text1"/>
          <w:sz w:val="24"/>
          <w:szCs w:val="24"/>
          <w:u w:val="none"/>
        </w:rPr>
        <w:t>criminal caution/sentences</w:t>
      </w:r>
      <w:r w:rsidR="00A27679" w:rsidRPr="0081090C">
        <w:rPr>
          <w:rStyle w:val="Hyperlink"/>
          <w:rFonts w:ascii="Times New Roman" w:eastAsiaTheme="minorEastAsia" w:hAnsi="Times New Roman" w:cs="Times New Roman"/>
          <w:color w:val="000000" w:themeColor="text1"/>
          <w:sz w:val="24"/>
          <w:szCs w:val="24"/>
          <w:u w:val="none"/>
        </w:rPr>
        <w:t xml:space="preserve"> as adults amongst initially high-achieving disadvantaged young people of different genders and ethnicities. Our interest is again the extent that differences across these sub-groups can</w:t>
      </w:r>
      <w:r w:rsidR="001C4B2B" w:rsidRPr="0081090C">
        <w:rPr>
          <w:rStyle w:val="Hyperlink"/>
          <w:rFonts w:ascii="Times New Roman" w:eastAsiaTheme="minorEastAsia" w:hAnsi="Times New Roman" w:cs="Times New Roman"/>
          <w:color w:val="000000" w:themeColor="text1"/>
          <w:sz w:val="24"/>
          <w:szCs w:val="24"/>
          <w:u w:val="none"/>
        </w:rPr>
        <w:t xml:space="preserve"> be traced back to variation in their behavioural and academic outcomes during secondary school, relative to initially high-achieving, socio-economically </w:t>
      </w:r>
      <w:r w:rsidR="006548BF" w:rsidRPr="0081090C">
        <w:rPr>
          <w:rStyle w:val="Hyperlink"/>
          <w:rFonts w:ascii="Times New Roman" w:eastAsiaTheme="minorEastAsia" w:hAnsi="Times New Roman" w:cs="Times New Roman"/>
          <w:color w:val="000000" w:themeColor="text1"/>
          <w:sz w:val="24"/>
          <w:szCs w:val="24"/>
          <w:u w:val="none"/>
        </w:rPr>
        <w:t xml:space="preserve">disadvantaged White boys as the reference group. </w:t>
      </w:r>
    </w:p>
    <w:p w14:paraId="38AB9DE9" w14:textId="27D25444" w:rsidR="00717DF5" w:rsidRPr="0081090C" w:rsidRDefault="00717DF5" w:rsidP="009260F5">
      <w:pPr>
        <w:pStyle w:val="ListParagraph"/>
        <w:numPr>
          <w:ilvl w:val="0"/>
          <w:numId w:val="1"/>
        </w:numPr>
        <w:spacing w:line="276" w:lineRule="auto"/>
        <w:jc w:val="both"/>
        <w:rPr>
          <w:rStyle w:val="Hyperlink"/>
          <w:rFonts w:ascii="Times New Roman" w:hAnsi="Times New Roman" w:cs="Times New Roman"/>
          <w:b/>
          <w:bCs/>
          <w:color w:val="000000" w:themeColor="text1"/>
          <w:sz w:val="24"/>
          <w:szCs w:val="24"/>
          <w:u w:val="none"/>
        </w:rPr>
      </w:pPr>
      <w:r w:rsidRPr="0081090C">
        <w:rPr>
          <w:rStyle w:val="Hyperlink"/>
          <w:rFonts w:ascii="Times New Roman" w:hAnsi="Times New Roman" w:cs="Times New Roman"/>
          <w:b/>
          <w:bCs/>
          <w:color w:val="000000" w:themeColor="text1"/>
          <w:sz w:val="24"/>
          <w:szCs w:val="24"/>
          <w:u w:val="none"/>
        </w:rPr>
        <w:t>Results</w:t>
      </w:r>
    </w:p>
    <w:p w14:paraId="68BF4675" w14:textId="0C147330" w:rsidR="002D76ED" w:rsidRPr="0081090C" w:rsidRDefault="002D76ED" w:rsidP="002D76ED">
      <w:pPr>
        <w:rPr>
          <w:rStyle w:val="Hyperlink"/>
          <w:rFonts w:ascii="Times New Roman" w:hAnsi="Times New Roman" w:cs="Times New Roman"/>
          <w:color w:val="000000" w:themeColor="text1"/>
          <w:sz w:val="24"/>
          <w:szCs w:val="24"/>
        </w:rPr>
      </w:pPr>
      <w:r w:rsidRPr="0081090C">
        <w:rPr>
          <w:rStyle w:val="Hyperlink"/>
          <w:rFonts w:ascii="Times New Roman" w:hAnsi="Times New Roman" w:cs="Times New Roman"/>
          <w:color w:val="000000" w:themeColor="text1"/>
          <w:sz w:val="24"/>
          <w:szCs w:val="24"/>
        </w:rPr>
        <w:t>Research question 1. School absences</w:t>
      </w:r>
    </w:p>
    <w:p w14:paraId="469EA889" w14:textId="5725A987" w:rsidR="002D76ED" w:rsidRDefault="00A56AD0" w:rsidP="00A56AD0">
      <w:pPr>
        <w:spacing w:line="36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Figure 1 presents the percentage of school sessions missed each </w:t>
      </w:r>
      <w:r w:rsidR="003A5EE2">
        <w:rPr>
          <w:rStyle w:val="Hyperlink"/>
          <w:rFonts w:ascii="Times New Roman" w:hAnsi="Times New Roman" w:cs="Times New Roman"/>
          <w:color w:val="000000" w:themeColor="text1"/>
          <w:sz w:val="24"/>
          <w:szCs w:val="24"/>
          <w:u w:val="none"/>
        </w:rPr>
        <w:t xml:space="preserve">academic term between Year 1 and Year 11, pooling data across the three cohorts. (Appendix A – Figure A3 </w:t>
      </w:r>
      <w:r w:rsidR="00F1481F">
        <w:rPr>
          <w:rStyle w:val="Hyperlink"/>
          <w:rFonts w:ascii="Times New Roman" w:hAnsi="Times New Roman" w:cs="Times New Roman"/>
          <w:color w:val="000000" w:themeColor="text1"/>
          <w:sz w:val="24"/>
          <w:szCs w:val="24"/>
          <w:u w:val="none"/>
        </w:rPr>
        <w:t xml:space="preserve">– provides results </w:t>
      </w:r>
      <w:r w:rsidR="002814B9">
        <w:rPr>
          <w:rStyle w:val="Hyperlink"/>
          <w:rFonts w:ascii="Times New Roman" w:hAnsi="Times New Roman" w:cs="Times New Roman"/>
          <w:color w:val="000000" w:themeColor="text1"/>
          <w:sz w:val="24"/>
          <w:szCs w:val="24"/>
          <w:u w:val="none"/>
        </w:rPr>
        <w:t xml:space="preserve">for each cohort </w:t>
      </w:r>
      <w:r w:rsidR="00E85677">
        <w:rPr>
          <w:rStyle w:val="Hyperlink"/>
          <w:rFonts w:ascii="Times New Roman" w:hAnsi="Times New Roman" w:cs="Times New Roman"/>
          <w:color w:val="000000" w:themeColor="text1"/>
          <w:sz w:val="24"/>
          <w:szCs w:val="24"/>
          <w:u w:val="none"/>
        </w:rPr>
        <w:t>separately</w:t>
      </w:r>
      <w:r w:rsidR="00F1481F">
        <w:rPr>
          <w:rStyle w:val="Hyperlink"/>
          <w:rFonts w:ascii="Times New Roman" w:hAnsi="Times New Roman" w:cs="Times New Roman"/>
          <w:color w:val="000000" w:themeColor="text1"/>
          <w:sz w:val="24"/>
          <w:szCs w:val="24"/>
          <w:u w:val="none"/>
        </w:rPr>
        <w:t>). The solid grey line refers to high-achieving children from socio-economically advantaged backgrounds, with the dashed black line providing analogous results for their equ</w:t>
      </w:r>
      <w:r w:rsidR="00200AED">
        <w:rPr>
          <w:rStyle w:val="Hyperlink"/>
          <w:rFonts w:ascii="Times New Roman" w:hAnsi="Times New Roman" w:cs="Times New Roman"/>
          <w:color w:val="000000" w:themeColor="text1"/>
          <w:sz w:val="24"/>
          <w:szCs w:val="24"/>
          <w:u w:val="none"/>
        </w:rPr>
        <w:t xml:space="preserve">ally high-achieving but socio-economically disadvantaged peers. </w:t>
      </w:r>
    </w:p>
    <w:p w14:paraId="5AE75E40" w14:textId="77777777" w:rsidR="00EE311F" w:rsidRDefault="00EE311F" w:rsidP="00A56AD0">
      <w:pPr>
        <w:spacing w:line="360" w:lineRule="auto"/>
        <w:jc w:val="both"/>
        <w:rPr>
          <w:rStyle w:val="Hyperlink"/>
          <w:rFonts w:ascii="Times New Roman" w:hAnsi="Times New Roman" w:cs="Times New Roman"/>
          <w:color w:val="000000" w:themeColor="text1"/>
          <w:sz w:val="24"/>
          <w:szCs w:val="24"/>
          <w:u w:val="none"/>
        </w:rPr>
      </w:pPr>
    </w:p>
    <w:p w14:paraId="339A58A2" w14:textId="77777777" w:rsidR="00EE311F" w:rsidRDefault="00EE311F" w:rsidP="00EE311F">
      <w:pPr>
        <w:jc w:val="center"/>
        <w:rPr>
          <w:b/>
          <w:bCs/>
        </w:rPr>
      </w:pPr>
      <w:r w:rsidRPr="0024717A">
        <w:rPr>
          <w:b/>
          <w:bCs/>
        </w:rPr>
        <w:lastRenderedPageBreak/>
        <w:t xml:space="preserve">Figure 1. Average </w:t>
      </w:r>
      <w:r>
        <w:rPr>
          <w:b/>
          <w:bCs/>
        </w:rPr>
        <w:t>absence</w:t>
      </w:r>
      <w:r w:rsidRPr="0024717A">
        <w:rPr>
          <w:b/>
          <w:bCs/>
        </w:rPr>
        <w:t xml:space="preserve"> rates of high-achieving children from socio-economically advantaged and disadvantaged backgrounds.</w:t>
      </w:r>
    </w:p>
    <w:p w14:paraId="4346FE17" w14:textId="77777777" w:rsidR="00EE311F" w:rsidRDefault="00EE311F" w:rsidP="00EE311F">
      <w:pPr>
        <w:jc w:val="center"/>
        <w:rPr>
          <w:b/>
          <w:bCs/>
        </w:rPr>
      </w:pPr>
      <w:r>
        <w:rPr>
          <w:noProof/>
        </w:rPr>
        <w:drawing>
          <wp:inline distT="0" distB="0" distL="0" distR="0" wp14:anchorId="1B4BC5AA" wp14:editId="44EAC713">
            <wp:extent cx="6038662" cy="4291343"/>
            <wp:effectExtent l="0" t="0" r="635" b="0"/>
            <wp:docPr id="1" name="Chart 1">
              <a:extLst xmlns:a="http://schemas.openxmlformats.org/drawingml/2006/main">
                <a:ext uri="{FF2B5EF4-FFF2-40B4-BE49-F238E27FC236}">
                  <a16:creationId xmlns:a16="http://schemas.microsoft.com/office/drawing/2014/main" id="{0DD6446D-4CE4-4412-930E-12DC97F7B8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58E9DE3" w14:textId="77777777" w:rsidR="00EE311F" w:rsidRPr="00EE311F" w:rsidRDefault="00EE311F" w:rsidP="00EE311F">
      <w:pPr>
        <w:rPr>
          <w:sz w:val="20"/>
          <w:szCs w:val="20"/>
        </w:rPr>
      </w:pPr>
      <w:r w:rsidRPr="00EE311F">
        <w:rPr>
          <w:b/>
          <w:bCs/>
          <w:sz w:val="20"/>
          <w:szCs w:val="20"/>
        </w:rPr>
        <w:t>Notes:</w:t>
      </w:r>
      <w:r w:rsidRPr="00EE311F">
        <w:rPr>
          <w:sz w:val="20"/>
          <w:szCs w:val="20"/>
        </w:rPr>
        <w:t xml:space="preserve"> Figures refer to the percent of sessions missed. Vertical dashed green line illustrates the transition between the end of primary (Year 6) and start of secondary (Year) school. Data pooled across the three cohorts. See Appendix A for further detailed results.</w:t>
      </w:r>
    </w:p>
    <w:p w14:paraId="40433736" w14:textId="77777777" w:rsidR="00EE311F" w:rsidRDefault="00EE311F" w:rsidP="0073651E">
      <w:pPr>
        <w:spacing w:line="360" w:lineRule="auto"/>
        <w:jc w:val="both"/>
        <w:rPr>
          <w:rStyle w:val="Hyperlink"/>
          <w:rFonts w:ascii="Times New Roman" w:hAnsi="Times New Roman" w:cs="Times New Roman"/>
          <w:color w:val="000000" w:themeColor="text1"/>
          <w:sz w:val="24"/>
          <w:szCs w:val="24"/>
          <w:u w:val="none"/>
        </w:rPr>
      </w:pPr>
    </w:p>
    <w:p w14:paraId="47D9B325" w14:textId="4BC0D89F" w:rsidR="00200AED" w:rsidRDefault="00200AED" w:rsidP="0073651E">
      <w:pPr>
        <w:spacing w:line="36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For the most</w:t>
      </w:r>
      <w:r w:rsidR="0073651E">
        <w:rPr>
          <w:rStyle w:val="Hyperlink"/>
          <w:rFonts w:ascii="Times New Roman" w:hAnsi="Times New Roman" w:cs="Times New Roman"/>
          <w:color w:val="000000" w:themeColor="text1"/>
          <w:sz w:val="24"/>
          <w:szCs w:val="24"/>
          <w:u w:val="none"/>
        </w:rPr>
        <w:t xml:space="preserve"> advantaged young people, the absence rate is broadly stable during their time at school, typically sitting somewhere between three and four percent of sessions missed each term</w:t>
      </w:r>
      <w:r w:rsidR="009533C1">
        <w:rPr>
          <w:rStyle w:val="FootnoteReference"/>
          <w:rFonts w:ascii="Times New Roman" w:hAnsi="Times New Roman" w:cs="Times New Roman"/>
          <w:color w:val="000000" w:themeColor="text1"/>
          <w:sz w:val="24"/>
          <w:szCs w:val="24"/>
        </w:rPr>
        <w:footnoteReference w:id="8"/>
      </w:r>
      <w:r w:rsidR="0073651E">
        <w:rPr>
          <w:rStyle w:val="Hyperlink"/>
          <w:rFonts w:ascii="Times New Roman" w:hAnsi="Times New Roman" w:cs="Times New Roman"/>
          <w:color w:val="000000" w:themeColor="text1"/>
          <w:sz w:val="24"/>
          <w:szCs w:val="24"/>
          <w:u w:val="none"/>
        </w:rPr>
        <w:t>.</w:t>
      </w:r>
      <w:r w:rsidR="00361B42">
        <w:rPr>
          <w:rStyle w:val="Hyperlink"/>
          <w:rFonts w:ascii="Times New Roman" w:hAnsi="Times New Roman" w:cs="Times New Roman"/>
          <w:color w:val="000000" w:themeColor="text1"/>
          <w:sz w:val="24"/>
          <w:szCs w:val="24"/>
          <w:u w:val="none"/>
        </w:rPr>
        <w:t xml:space="preserve"> In contrast, </w:t>
      </w:r>
      <w:r w:rsidR="00397D92">
        <w:rPr>
          <w:rStyle w:val="Hyperlink"/>
          <w:rFonts w:ascii="Times New Roman" w:hAnsi="Times New Roman" w:cs="Times New Roman"/>
          <w:color w:val="000000" w:themeColor="text1"/>
          <w:sz w:val="24"/>
          <w:szCs w:val="24"/>
          <w:u w:val="none"/>
        </w:rPr>
        <w:t xml:space="preserve">the absence </w:t>
      </w:r>
      <w:r w:rsidR="008C7957">
        <w:rPr>
          <w:rStyle w:val="Hyperlink"/>
          <w:rFonts w:ascii="Times New Roman" w:hAnsi="Times New Roman" w:cs="Times New Roman"/>
          <w:color w:val="000000" w:themeColor="text1"/>
          <w:sz w:val="24"/>
          <w:szCs w:val="24"/>
          <w:u w:val="none"/>
        </w:rPr>
        <w:t xml:space="preserve">rate for initially high-achieving disadvantaged pupils is higher and </w:t>
      </w:r>
      <w:r w:rsidR="00700E1D">
        <w:rPr>
          <w:rStyle w:val="Hyperlink"/>
          <w:rFonts w:ascii="Times New Roman" w:hAnsi="Times New Roman" w:cs="Times New Roman"/>
          <w:color w:val="000000" w:themeColor="text1"/>
          <w:sz w:val="24"/>
          <w:szCs w:val="24"/>
          <w:u w:val="none"/>
        </w:rPr>
        <w:t xml:space="preserve">has more </w:t>
      </w:r>
      <w:r w:rsidR="00E85677">
        <w:rPr>
          <w:rStyle w:val="Hyperlink"/>
          <w:rFonts w:ascii="Times New Roman" w:hAnsi="Times New Roman" w:cs="Times New Roman"/>
          <w:color w:val="000000" w:themeColor="text1"/>
          <w:sz w:val="24"/>
          <w:szCs w:val="24"/>
          <w:u w:val="none"/>
        </w:rPr>
        <w:t>variable</w:t>
      </w:r>
      <w:r w:rsidR="00700E1D">
        <w:rPr>
          <w:rStyle w:val="Hyperlink"/>
          <w:rFonts w:ascii="Times New Roman" w:hAnsi="Times New Roman" w:cs="Times New Roman"/>
          <w:color w:val="000000" w:themeColor="text1"/>
          <w:sz w:val="24"/>
          <w:szCs w:val="24"/>
          <w:u w:val="none"/>
        </w:rPr>
        <w:t>. For instance, in Year 7 the absence rate for the high-achieving disadvantaged group is around 5.5%, relative to around 3.5% for their equally able but more socio-economically advantaged peers. However, by Year 10</w:t>
      </w:r>
      <w:r w:rsidR="00F90D53">
        <w:rPr>
          <w:rStyle w:val="Hyperlink"/>
          <w:rFonts w:ascii="Times New Roman" w:hAnsi="Times New Roman" w:cs="Times New Roman"/>
          <w:color w:val="000000" w:themeColor="text1"/>
          <w:sz w:val="24"/>
          <w:szCs w:val="24"/>
          <w:u w:val="none"/>
        </w:rPr>
        <w:t xml:space="preserve">, the absence rate has reached approximately 7% for the former, but only 4% for the latter. This points towards an increasing </w:t>
      </w:r>
      <w:r w:rsidR="00F90D53">
        <w:rPr>
          <w:rStyle w:val="Hyperlink"/>
          <w:rFonts w:ascii="Times New Roman" w:hAnsi="Times New Roman" w:cs="Times New Roman"/>
          <w:color w:val="000000" w:themeColor="text1"/>
          <w:sz w:val="24"/>
          <w:szCs w:val="24"/>
          <w:u w:val="none"/>
        </w:rPr>
        <w:lastRenderedPageBreak/>
        <w:t>socio-economic disparity</w:t>
      </w:r>
      <w:r w:rsidR="00014359">
        <w:rPr>
          <w:rStyle w:val="Hyperlink"/>
          <w:rFonts w:ascii="Times New Roman" w:hAnsi="Times New Roman" w:cs="Times New Roman"/>
          <w:color w:val="000000" w:themeColor="text1"/>
          <w:sz w:val="24"/>
          <w:szCs w:val="24"/>
          <w:u w:val="none"/>
        </w:rPr>
        <w:t xml:space="preserve"> amongst children with high levels of prior achievement</w:t>
      </w:r>
      <w:r w:rsidR="00D70A56">
        <w:rPr>
          <w:rStyle w:val="Hyperlink"/>
          <w:rFonts w:ascii="Times New Roman" w:hAnsi="Times New Roman" w:cs="Times New Roman"/>
          <w:color w:val="000000" w:themeColor="text1"/>
          <w:sz w:val="24"/>
          <w:szCs w:val="24"/>
          <w:u w:val="none"/>
        </w:rPr>
        <w:t xml:space="preserve"> during secondary school.</w:t>
      </w:r>
    </w:p>
    <w:p w14:paraId="654B34C8" w14:textId="2FAB3A4A" w:rsidR="006B7A18" w:rsidRDefault="0096485C" w:rsidP="0073651E">
      <w:pPr>
        <w:spacing w:line="36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Table 1 panel (a) reiterates this result, focusing upon annual secondary school absences amongst Cohort C</w:t>
      </w:r>
      <w:r w:rsidR="00EB6F67">
        <w:rPr>
          <w:rStyle w:val="Hyperlink"/>
          <w:rFonts w:ascii="Times New Roman" w:hAnsi="Times New Roman" w:cs="Times New Roman"/>
          <w:color w:val="000000" w:themeColor="text1"/>
          <w:sz w:val="24"/>
          <w:szCs w:val="24"/>
          <w:u w:val="none"/>
        </w:rPr>
        <w:t xml:space="preserve"> (the group we can observe throughout their time at school). This presents estimates from our regression model, with figures referring to the percentage point </w:t>
      </w:r>
      <w:r w:rsidR="004C15F5">
        <w:rPr>
          <w:rStyle w:val="Hyperlink"/>
          <w:rFonts w:ascii="Times New Roman" w:hAnsi="Times New Roman" w:cs="Times New Roman"/>
          <w:color w:val="000000" w:themeColor="text1"/>
          <w:sz w:val="24"/>
          <w:szCs w:val="24"/>
          <w:u w:val="none"/>
        </w:rPr>
        <w:t>difference in school sessions missed relative to the most disadvantaged socio-economic group. Note how, in Year 7, socio-economicall</w:t>
      </w:r>
      <w:r w:rsidR="0037034B">
        <w:rPr>
          <w:rStyle w:val="Hyperlink"/>
          <w:rFonts w:ascii="Times New Roman" w:hAnsi="Times New Roman" w:cs="Times New Roman"/>
          <w:color w:val="000000" w:themeColor="text1"/>
          <w:sz w:val="24"/>
          <w:szCs w:val="24"/>
          <w:u w:val="none"/>
        </w:rPr>
        <w:t>y</w:t>
      </w:r>
      <w:r w:rsidR="004C15F5">
        <w:rPr>
          <w:rStyle w:val="Hyperlink"/>
          <w:rFonts w:ascii="Times New Roman" w:hAnsi="Times New Roman" w:cs="Times New Roman"/>
          <w:color w:val="000000" w:themeColor="text1"/>
          <w:sz w:val="24"/>
          <w:szCs w:val="24"/>
          <w:u w:val="none"/>
        </w:rPr>
        <w:t xml:space="preserve"> </w:t>
      </w:r>
      <w:r w:rsidR="0037034B">
        <w:rPr>
          <w:rStyle w:val="Hyperlink"/>
          <w:rFonts w:ascii="Times New Roman" w:hAnsi="Times New Roman" w:cs="Times New Roman"/>
          <w:color w:val="000000" w:themeColor="text1"/>
          <w:sz w:val="24"/>
          <w:szCs w:val="24"/>
          <w:u w:val="none"/>
        </w:rPr>
        <w:t>advantaged young people with strong Key Stage 2 scores miss 0.9 percentage point</w:t>
      </w:r>
      <w:r w:rsidR="00B82B18">
        <w:rPr>
          <w:rStyle w:val="Hyperlink"/>
          <w:rFonts w:ascii="Times New Roman" w:hAnsi="Times New Roman" w:cs="Times New Roman"/>
          <w:color w:val="000000" w:themeColor="text1"/>
          <w:sz w:val="24"/>
          <w:szCs w:val="24"/>
          <w:u w:val="none"/>
        </w:rPr>
        <w:t xml:space="preserve"> fewer school sessions than socio-economically disadvantaged pupils with equally strong Key Stage 2 scores. The magnitude of this gap gradually increases, however, reaching 1.76 percentage point fewer sessions missed in Year 9 and up to 2.5 percentage points in Year 11. Moreover, Appendix G (Table G1) demonstrates how this gap cannot solely be attributed to Kelley’s parado</w:t>
      </w:r>
      <w:r w:rsidR="00910953">
        <w:rPr>
          <w:rStyle w:val="Hyperlink"/>
          <w:rFonts w:ascii="Times New Roman" w:hAnsi="Times New Roman" w:cs="Times New Roman"/>
          <w:color w:val="000000" w:themeColor="text1"/>
          <w:sz w:val="24"/>
          <w:szCs w:val="24"/>
          <w:u w:val="none"/>
        </w:rPr>
        <w:t xml:space="preserve">x </w:t>
      </w:r>
      <w:r w:rsidR="00014359">
        <w:rPr>
          <w:rStyle w:val="Hyperlink"/>
          <w:rFonts w:ascii="Times New Roman" w:hAnsi="Times New Roman" w:cs="Times New Roman"/>
          <w:color w:val="000000" w:themeColor="text1"/>
          <w:sz w:val="24"/>
          <w:szCs w:val="24"/>
          <w:u w:val="none"/>
        </w:rPr>
        <w:t xml:space="preserve">(i.e. potential </w:t>
      </w:r>
      <w:r w:rsidR="00910953">
        <w:rPr>
          <w:rStyle w:val="Hyperlink"/>
          <w:rFonts w:ascii="Times New Roman" w:hAnsi="Times New Roman" w:cs="Times New Roman"/>
          <w:color w:val="000000" w:themeColor="text1"/>
          <w:sz w:val="24"/>
          <w:szCs w:val="24"/>
          <w:u w:val="none"/>
        </w:rPr>
        <w:t>measurement error in the Key Stage 2 test</w:t>
      </w:r>
      <w:r w:rsidR="00014359">
        <w:rPr>
          <w:rStyle w:val="Hyperlink"/>
          <w:rFonts w:ascii="Times New Roman" w:hAnsi="Times New Roman" w:cs="Times New Roman"/>
          <w:color w:val="000000" w:themeColor="text1"/>
          <w:sz w:val="24"/>
          <w:szCs w:val="24"/>
          <w:u w:val="none"/>
        </w:rPr>
        <w:t>s)</w:t>
      </w:r>
      <w:r w:rsidR="00910953">
        <w:rPr>
          <w:rStyle w:val="Hyperlink"/>
          <w:rFonts w:ascii="Times New Roman" w:hAnsi="Times New Roman" w:cs="Times New Roman"/>
          <w:color w:val="000000" w:themeColor="text1"/>
          <w:sz w:val="24"/>
          <w:szCs w:val="24"/>
          <w:u w:val="none"/>
        </w:rPr>
        <w:t xml:space="preserve">. Together, this illustrates how higher rates of absence from </w:t>
      </w:r>
      <w:r w:rsidR="002A2C7D">
        <w:rPr>
          <w:rStyle w:val="Hyperlink"/>
          <w:rFonts w:ascii="Times New Roman" w:hAnsi="Times New Roman" w:cs="Times New Roman"/>
          <w:color w:val="000000" w:themeColor="text1"/>
          <w:sz w:val="24"/>
          <w:szCs w:val="24"/>
          <w:u w:val="none"/>
        </w:rPr>
        <w:t>school may se</w:t>
      </w:r>
      <w:r w:rsidR="003A21C6">
        <w:rPr>
          <w:rStyle w:val="Hyperlink"/>
          <w:rFonts w:ascii="Times New Roman" w:hAnsi="Times New Roman" w:cs="Times New Roman"/>
          <w:color w:val="000000" w:themeColor="text1"/>
          <w:sz w:val="24"/>
          <w:szCs w:val="24"/>
          <w:u w:val="none"/>
        </w:rPr>
        <w:t>r</w:t>
      </w:r>
      <w:r w:rsidR="002A2C7D">
        <w:rPr>
          <w:rStyle w:val="Hyperlink"/>
          <w:rFonts w:ascii="Times New Roman" w:hAnsi="Times New Roman" w:cs="Times New Roman"/>
          <w:color w:val="000000" w:themeColor="text1"/>
          <w:sz w:val="24"/>
          <w:szCs w:val="24"/>
          <w:u w:val="none"/>
        </w:rPr>
        <w:t>ve to undermine the progress and development of initially high-achieving young people from dis</w:t>
      </w:r>
      <w:r w:rsidR="003A21C6">
        <w:rPr>
          <w:rStyle w:val="Hyperlink"/>
          <w:rFonts w:ascii="Times New Roman" w:hAnsi="Times New Roman" w:cs="Times New Roman"/>
          <w:color w:val="000000" w:themeColor="text1"/>
          <w:sz w:val="24"/>
          <w:szCs w:val="24"/>
          <w:u w:val="none"/>
        </w:rPr>
        <w:t>advantaged socio-economic backgrounds.</w:t>
      </w:r>
    </w:p>
    <w:p w14:paraId="05C21E4F" w14:textId="77777777" w:rsidR="00EE311F" w:rsidRDefault="00EE311F" w:rsidP="0073651E">
      <w:pPr>
        <w:spacing w:line="360" w:lineRule="auto"/>
        <w:jc w:val="both"/>
        <w:rPr>
          <w:rStyle w:val="Hyperlink"/>
          <w:rFonts w:ascii="Times New Roman" w:hAnsi="Times New Roman" w:cs="Times New Roman"/>
          <w:color w:val="000000" w:themeColor="text1"/>
          <w:sz w:val="24"/>
          <w:szCs w:val="24"/>
          <w:u w:val="none"/>
        </w:rPr>
        <w:sectPr w:rsidR="00EE311F" w:rsidSect="004713B9">
          <w:pgSz w:w="11906" w:h="16838"/>
          <w:pgMar w:top="1440" w:right="1440" w:bottom="1440" w:left="1440" w:header="708" w:footer="708" w:gutter="0"/>
          <w:cols w:space="708"/>
          <w:docGrid w:linePitch="360"/>
        </w:sectPr>
      </w:pPr>
    </w:p>
    <w:p w14:paraId="031161A5" w14:textId="77777777" w:rsidR="00EE311F" w:rsidRDefault="00EE311F" w:rsidP="00EE311F">
      <w:pPr>
        <w:jc w:val="center"/>
        <w:rPr>
          <w:b/>
          <w:bCs/>
        </w:rPr>
      </w:pPr>
      <w:r>
        <w:rPr>
          <w:b/>
          <w:bCs/>
        </w:rPr>
        <w:lastRenderedPageBreak/>
        <w:t>Table 1. Regression estimates of the difference in secondary school attendance rates across high-achieving children from different socio-economic backgrounds.</w:t>
      </w:r>
    </w:p>
    <w:p w14:paraId="4CDB991C" w14:textId="77777777" w:rsidR="00EE311F" w:rsidRPr="004C6ADE" w:rsidRDefault="00EE311F" w:rsidP="00EE311F">
      <w:pPr>
        <w:pStyle w:val="ListParagraph"/>
        <w:numPr>
          <w:ilvl w:val="0"/>
          <w:numId w:val="6"/>
        </w:numPr>
        <w:jc w:val="center"/>
      </w:pPr>
      <w:r w:rsidRPr="004C6ADE">
        <w:t>Differences across socio-economic groups</w:t>
      </w:r>
    </w:p>
    <w:tbl>
      <w:tblPr>
        <w:tblW w:w="0" w:type="auto"/>
        <w:tblLook w:val="04A0" w:firstRow="1" w:lastRow="0" w:firstColumn="1" w:lastColumn="0" w:noHBand="0" w:noVBand="1"/>
      </w:tblPr>
      <w:tblGrid>
        <w:gridCol w:w="1821"/>
        <w:gridCol w:w="783"/>
        <w:gridCol w:w="607"/>
        <w:gridCol w:w="783"/>
        <w:gridCol w:w="607"/>
        <w:gridCol w:w="783"/>
        <w:gridCol w:w="607"/>
        <w:gridCol w:w="783"/>
        <w:gridCol w:w="607"/>
        <w:gridCol w:w="783"/>
        <w:gridCol w:w="607"/>
      </w:tblGrid>
      <w:tr w:rsidR="00EE311F" w:rsidRPr="000F52D2" w14:paraId="4FCFCA43" w14:textId="77777777" w:rsidTr="00515E57">
        <w:trPr>
          <w:trHeight w:val="290"/>
        </w:trPr>
        <w:tc>
          <w:tcPr>
            <w:tcW w:w="0" w:type="auto"/>
            <w:tcBorders>
              <w:top w:val="single" w:sz="4" w:space="0" w:color="auto"/>
              <w:left w:val="nil"/>
              <w:bottom w:val="nil"/>
              <w:right w:val="nil"/>
            </w:tcBorders>
            <w:shd w:val="clear" w:color="000000" w:fill="B4C6E7"/>
            <w:noWrap/>
            <w:vAlign w:val="bottom"/>
            <w:hideMark/>
          </w:tcPr>
          <w:p w14:paraId="1F8D9A6C" w14:textId="77777777" w:rsidR="00EE311F" w:rsidRPr="000F52D2" w:rsidRDefault="00EE311F" w:rsidP="00515E57">
            <w:pPr>
              <w:spacing w:after="0" w:line="240" w:lineRule="auto"/>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 </w:t>
            </w:r>
          </w:p>
        </w:tc>
        <w:tc>
          <w:tcPr>
            <w:tcW w:w="0" w:type="auto"/>
            <w:gridSpan w:val="2"/>
            <w:tcBorders>
              <w:top w:val="single" w:sz="4" w:space="0" w:color="auto"/>
              <w:left w:val="nil"/>
              <w:bottom w:val="nil"/>
              <w:right w:val="nil"/>
            </w:tcBorders>
            <w:shd w:val="clear" w:color="000000" w:fill="B4C6E7"/>
            <w:noWrap/>
            <w:vAlign w:val="bottom"/>
            <w:hideMark/>
          </w:tcPr>
          <w:p w14:paraId="1669E426"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Year 7</w:t>
            </w:r>
          </w:p>
        </w:tc>
        <w:tc>
          <w:tcPr>
            <w:tcW w:w="0" w:type="auto"/>
            <w:gridSpan w:val="2"/>
            <w:tcBorders>
              <w:top w:val="single" w:sz="4" w:space="0" w:color="auto"/>
              <w:left w:val="nil"/>
              <w:bottom w:val="nil"/>
              <w:right w:val="nil"/>
            </w:tcBorders>
            <w:shd w:val="clear" w:color="000000" w:fill="B4C6E7"/>
            <w:noWrap/>
            <w:vAlign w:val="bottom"/>
            <w:hideMark/>
          </w:tcPr>
          <w:p w14:paraId="77624125"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Year 8</w:t>
            </w:r>
          </w:p>
        </w:tc>
        <w:tc>
          <w:tcPr>
            <w:tcW w:w="0" w:type="auto"/>
            <w:gridSpan w:val="2"/>
            <w:tcBorders>
              <w:top w:val="single" w:sz="4" w:space="0" w:color="auto"/>
              <w:left w:val="nil"/>
              <w:bottom w:val="nil"/>
              <w:right w:val="nil"/>
            </w:tcBorders>
            <w:shd w:val="clear" w:color="000000" w:fill="B4C6E7"/>
            <w:noWrap/>
            <w:vAlign w:val="bottom"/>
            <w:hideMark/>
          </w:tcPr>
          <w:p w14:paraId="0F6A2341"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Year 9</w:t>
            </w:r>
          </w:p>
        </w:tc>
        <w:tc>
          <w:tcPr>
            <w:tcW w:w="0" w:type="auto"/>
            <w:gridSpan w:val="2"/>
            <w:tcBorders>
              <w:top w:val="single" w:sz="4" w:space="0" w:color="auto"/>
              <w:left w:val="nil"/>
              <w:bottom w:val="nil"/>
              <w:right w:val="nil"/>
            </w:tcBorders>
            <w:shd w:val="clear" w:color="000000" w:fill="B4C6E7"/>
            <w:noWrap/>
            <w:vAlign w:val="bottom"/>
            <w:hideMark/>
          </w:tcPr>
          <w:p w14:paraId="75D71CFF"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Year 10</w:t>
            </w:r>
          </w:p>
        </w:tc>
        <w:tc>
          <w:tcPr>
            <w:tcW w:w="0" w:type="auto"/>
            <w:gridSpan w:val="2"/>
            <w:tcBorders>
              <w:top w:val="single" w:sz="4" w:space="0" w:color="auto"/>
              <w:left w:val="nil"/>
              <w:bottom w:val="nil"/>
              <w:right w:val="nil"/>
            </w:tcBorders>
            <w:shd w:val="clear" w:color="000000" w:fill="B4C6E7"/>
            <w:noWrap/>
            <w:vAlign w:val="bottom"/>
            <w:hideMark/>
          </w:tcPr>
          <w:p w14:paraId="58805F2B"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Year 11</w:t>
            </w:r>
          </w:p>
        </w:tc>
      </w:tr>
      <w:tr w:rsidR="00EE311F" w:rsidRPr="000F52D2" w14:paraId="0DC2874F" w14:textId="77777777" w:rsidTr="00515E57">
        <w:trPr>
          <w:trHeight w:val="290"/>
        </w:trPr>
        <w:tc>
          <w:tcPr>
            <w:tcW w:w="0" w:type="auto"/>
            <w:tcBorders>
              <w:top w:val="nil"/>
              <w:left w:val="nil"/>
              <w:bottom w:val="single" w:sz="4" w:space="0" w:color="auto"/>
              <w:right w:val="nil"/>
            </w:tcBorders>
            <w:shd w:val="clear" w:color="000000" w:fill="B4C6E7"/>
            <w:noWrap/>
            <w:vAlign w:val="bottom"/>
            <w:hideMark/>
          </w:tcPr>
          <w:p w14:paraId="718F5DC7" w14:textId="77777777" w:rsidR="00EE311F" w:rsidRPr="000F52D2" w:rsidRDefault="00EE311F" w:rsidP="00515E57">
            <w:pPr>
              <w:spacing w:after="0" w:line="240" w:lineRule="auto"/>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 </w:t>
            </w:r>
          </w:p>
        </w:tc>
        <w:tc>
          <w:tcPr>
            <w:tcW w:w="0" w:type="auto"/>
            <w:tcBorders>
              <w:top w:val="nil"/>
              <w:left w:val="nil"/>
              <w:bottom w:val="single" w:sz="4" w:space="0" w:color="auto"/>
              <w:right w:val="nil"/>
            </w:tcBorders>
            <w:shd w:val="clear" w:color="000000" w:fill="B4C6E7"/>
            <w:noWrap/>
            <w:vAlign w:val="bottom"/>
            <w:hideMark/>
          </w:tcPr>
          <w:p w14:paraId="240D9BA6"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 diff</w:t>
            </w:r>
          </w:p>
        </w:tc>
        <w:tc>
          <w:tcPr>
            <w:tcW w:w="0" w:type="auto"/>
            <w:tcBorders>
              <w:top w:val="nil"/>
              <w:left w:val="nil"/>
              <w:bottom w:val="single" w:sz="4" w:space="0" w:color="auto"/>
              <w:right w:val="nil"/>
            </w:tcBorders>
            <w:shd w:val="clear" w:color="000000" w:fill="B4C6E7"/>
            <w:noWrap/>
            <w:vAlign w:val="bottom"/>
            <w:hideMark/>
          </w:tcPr>
          <w:p w14:paraId="3918E8A0"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SE</w:t>
            </w:r>
          </w:p>
        </w:tc>
        <w:tc>
          <w:tcPr>
            <w:tcW w:w="0" w:type="auto"/>
            <w:tcBorders>
              <w:top w:val="nil"/>
              <w:left w:val="nil"/>
              <w:bottom w:val="single" w:sz="4" w:space="0" w:color="auto"/>
              <w:right w:val="nil"/>
            </w:tcBorders>
            <w:shd w:val="clear" w:color="000000" w:fill="B4C6E7"/>
            <w:noWrap/>
            <w:vAlign w:val="bottom"/>
            <w:hideMark/>
          </w:tcPr>
          <w:p w14:paraId="0BA11A3F"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 diff</w:t>
            </w:r>
          </w:p>
        </w:tc>
        <w:tc>
          <w:tcPr>
            <w:tcW w:w="0" w:type="auto"/>
            <w:tcBorders>
              <w:top w:val="nil"/>
              <w:left w:val="nil"/>
              <w:bottom w:val="single" w:sz="4" w:space="0" w:color="auto"/>
              <w:right w:val="nil"/>
            </w:tcBorders>
            <w:shd w:val="clear" w:color="000000" w:fill="B4C6E7"/>
            <w:noWrap/>
            <w:vAlign w:val="bottom"/>
            <w:hideMark/>
          </w:tcPr>
          <w:p w14:paraId="3E788761"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SE</w:t>
            </w:r>
          </w:p>
        </w:tc>
        <w:tc>
          <w:tcPr>
            <w:tcW w:w="0" w:type="auto"/>
            <w:tcBorders>
              <w:top w:val="nil"/>
              <w:left w:val="nil"/>
              <w:bottom w:val="single" w:sz="4" w:space="0" w:color="auto"/>
              <w:right w:val="nil"/>
            </w:tcBorders>
            <w:shd w:val="clear" w:color="000000" w:fill="B4C6E7"/>
            <w:noWrap/>
            <w:vAlign w:val="bottom"/>
            <w:hideMark/>
          </w:tcPr>
          <w:p w14:paraId="30EE5953"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 diff</w:t>
            </w:r>
          </w:p>
        </w:tc>
        <w:tc>
          <w:tcPr>
            <w:tcW w:w="0" w:type="auto"/>
            <w:tcBorders>
              <w:top w:val="nil"/>
              <w:left w:val="nil"/>
              <w:bottom w:val="single" w:sz="4" w:space="0" w:color="auto"/>
              <w:right w:val="nil"/>
            </w:tcBorders>
            <w:shd w:val="clear" w:color="000000" w:fill="B4C6E7"/>
            <w:noWrap/>
            <w:vAlign w:val="bottom"/>
            <w:hideMark/>
          </w:tcPr>
          <w:p w14:paraId="42E58AC3"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SE</w:t>
            </w:r>
          </w:p>
        </w:tc>
        <w:tc>
          <w:tcPr>
            <w:tcW w:w="0" w:type="auto"/>
            <w:tcBorders>
              <w:top w:val="nil"/>
              <w:left w:val="nil"/>
              <w:bottom w:val="single" w:sz="4" w:space="0" w:color="auto"/>
              <w:right w:val="nil"/>
            </w:tcBorders>
            <w:shd w:val="clear" w:color="000000" w:fill="B4C6E7"/>
            <w:noWrap/>
            <w:vAlign w:val="bottom"/>
            <w:hideMark/>
          </w:tcPr>
          <w:p w14:paraId="7B092ADC"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 diff</w:t>
            </w:r>
          </w:p>
        </w:tc>
        <w:tc>
          <w:tcPr>
            <w:tcW w:w="0" w:type="auto"/>
            <w:tcBorders>
              <w:top w:val="nil"/>
              <w:left w:val="nil"/>
              <w:bottom w:val="single" w:sz="4" w:space="0" w:color="auto"/>
              <w:right w:val="nil"/>
            </w:tcBorders>
            <w:shd w:val="clear" w:color="000000" w:fill="B4C6E7"/>
            <w:noWrap/>
            <w:vAlign w:val="bottom"/>
            <w:hideMark/>
          </w:tcPr>
          <w:p w14:paraId="29BE39D3"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SE</w:t>
            </w:r>
          </w:p>
        </w:tc>
        <w:tc>
          <w:tcPr>
            <w:tcW w:w="0" w:type="auto"/>
            <w:tcBorders>
              <w:top w:val="nil"/>
              <w:left w:val="nil"/>
              <w:bottom w:val="single" w:sz="4" w:space="0" w:color="auto"/>
              <w:right w:val="nil"/>
            </w:tcBorders>
            <w:shd w:val="clear" w:color="000000" w:fill="B4C6E7"/>
            <w:noWrap/>
            <w:vAlign w:val="bottom"/>
            <w:hideMark/>
          </w:tcPr>
          <w:p w14:paraId="01BD2FE5"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 diff</w:t>
            </w:r>
          </w:p>
        </w:tc>
        <w:tc>
          <w:tcPr>
            <w:tcW w:w="0" w:type="auto"/>
            <w:tcBorders>
              <w:top w:val="nil"/>
              <w:left w:val="nil"/>
              <w:bottom w:val="single" w:sz="4" w:space="0" w:color="auto"/>
              <w:right w:val="nil"/>
            </w:tcBorders>
            <w:shd w:val="clear" w:color="000000" w:fill="B4C6E7"/>
            <w:noWrap/>
            <w:vAlign w:val="bottom"/>
            <w:hideMark/>
          </w:tcPr>
          <w:p w14:paraId="51E3084E"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SE</w:t>
            </w:r>
          </w:p>
        </w:tc>
      </w:tr>
      <w:tr w:rsidR="00EE311F" w:rsidRPr="000F52D2" w14:paraId="0876A0DC" w14:textId="77777777" w:rsidTr="00515E57">
        <w:trPr>
          <w:trHeight w:val="290"/>
        </w:trPr>
        <w:tc>
          <w:tcPr>
            <w:tcW w:w="0" w:type="auto"/>
            <w:tcBorders>
              <w:top w:val="nil"/>
              <w:left w:val="nil"/>
              <w:bottom w:val="nil"/>
              <w:right w:val="nil"/>
            </w:tcBorders>
            <w:shd w:val="clear" w:color="auto" w:fill="auto"/>
            <w:noWrap/>
            <w:vAlign w:val="bottom"/>
            <w:hideMark/>
          </w:tcPr>
          <w:p w14:paraId="7ACDAC8D" w14:textId="77777777" w:rsidR="00EE311F" w:rsidRPr="000F52D2" w:rsidRDefault="00EE311F" w:rsidP="00515E57">
            <w:pPr>
              <w:spacing w:after="0" w:line="240" w:lineRule="auto"/>
              <w:rPr>
                <w:rFonts w:ascii="Calibri" w:eastAsia="Times New Roman" w:hAnsi="Calibri" w:cs="Calibri"/>
                <w:color w:val="000000"/>
                <w:lang w:eastAsia="en-GB"/>
              </w:rPr>
            </w:pPr>
            <w:r w:rsidRPr="000F52D2">
              <w:rPr>
                <w:rFonts w:ascii="Calibri" w:eastAsia="Times New Roman" w:hAnsi="Calibri" w:cs="Calibri"/>
                <w:color w:val="000000"/>
                <w:lang w:eastAsia="en-GB"/>
              </w:rPr>
              <w:t>Q2 SES</w:t>
            </w:r>
          </w:p>
        </w:tc>
        <w:tc>
          <w:tcPr>
            <w:tcW w:w="0" w:type="auto"/>
            <w:tcBorders>
              <w:top w:val="nil"/>
              <w:left w:val="nil"/>
              <w:bottom w:val="nil"/>
              <w:right w:val="nil"/>
            </w:tcBorders>
            <w:shd w:val="clear" w:color="auto" w:fill="auto"/>
            <w:noWrap/>
            <w:vAlign w:val="bottom"/>
            <w:hideMark/>
          </w:tcPr>
          <w:p w14:paraId="3F6188AC"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-0.59</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1BC4F43F"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0.05</w:t>
            </w:r>
          </w:p>
        </w:tc>
        <w:tc>
          <w:tcPr>
            <w:tcW w:w="0" w:type="auto"/>
            <w:tcBorders>
              <w:top w:val="nil"/>
              <w:left w:val="nil"/>
              <w:bottom w:val="nil"/>
              <w:right w:val="nil"/>
            </w:tcBorders>
            <w:shd w:val="clear" w:color="auto" w:fill="auto"/>
            <w:noWrap/>
            <w:vAlign w:val="bottom"/>
            <w:hideMark/>
          </w:tcPr>
          <w:p w14:paraId="6DDACC7B"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-0.76</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7DE38257"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0.05</w:t>
            </w:r>
          </w:p>
        </w:tc>
        <w:tc>
          <w:tcPr>
            <w:tcW w:w="0" w:type="auto"/>
            <w:tcBorders>
              <w:top w:val="nil"/>
              <w:left w:val="nil"/>
              <w:bottom w:val="nil"/>
              <w:right w:val="nil"/>
            </w:tcBorders>
            <w:shd w:val="clear" w:color="auto" w:fill="auto"/>
            <w:noWrap/>
            <w:vAlign w:val="bottom"/>
            <w:hideMark/>
          </w:tcPr>
          <w:p w14:paraId="1C0C46F5"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-1.14</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1E0AE884"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0.06</w:t>
            </w:r>
          </w:p>
        </w:tc>
        <w:tc>
          <w:tcPr>
            <w:tcW w:w="0" w:type="auto"/>
            <w:tcBorders>
              <w:top w:val="nil"/>
              <w:left w:val="nil"/>
              <w:bottom w:val="nil"/>
              <w:right w:val="nil"/>
            </w:tcBorders>
            <w:shd w:val="clear" w:color="auto" w:fill="auto"/>
            <w:noWrap/>
            <w:vAlign w:val="bottom"/>
            <w:hideMark/>
          </w:tcPr>
          <w:p w14:paraId="2386DCAF"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-1.45</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07CCD90E"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0.07</w:t>
            </w:r>
          </w:p>
        </w:tc>
        <w:tc>
          <w:tcPr>
            <w:tcW w:w="0" w:type="auto"/>
            <w:tcBorders>
              <w:top w:val="nil"/>
              <w:left w:val="nil"/>
              <w:bottom w:val="nil"/>
              <w:right w:val="nil"/>
            </w:tcBorders>
            <w:shd w:val="clear" w:color="auto" w:fill="auto"/>
            <w:noWrap/>
            <w:vAlign w:val="bottom"/>
            <w:hideMark/>
          </w:tcPr>
          <w:p w14:paraId="58AF9965"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-1.67</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639C9114"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0.08</w:t>
            </w:r>
          </w:p>
        </w:tc>
      </w:tr>
      <w:tr w:rsidR="00EE311F" w:rsidRPr="000F52D2" w14:paraId="21E8B386" w14:textId="77777777" w:rsidTr="00515E57">
        <w:trPr>
          <w:trHeight w:val="290"/>
        </w:trPr>
        <w:tc>
          <w:tcPr>
            <w:tcW w:w="0" w:type="auto"/>
            <w:tcBorders>
              <w:top w:val="nil"/>
              <w:left w:val="nil"/>
              <w:bottom w:val="nil"/>
              <w:right w:val="nil"/>
            </w:tcBorders>
            <w:shd w:val="clear" w:color="auto" w:fill="auto"/>
            <w:noWrap/>
            <w:vAlign w:val="bottom"/>
            <w:hideMark/>
          </w:tcPr>
          <w:p w14:paraId="4A05BD50" w14:textId="77777777" w:rsidR="00EE311F" w:rsidRPr="000F52D2" w:rsidRDefault="00EE311F" w:rsidP="00515E57">
            <w:pPr>
              <w:spacing w:after="0" w:line="240" w:lineRule="auto"/>
              <w:rPr>
                <w:rFonts w:ascii="Calibri" w:eastAsia="Times New Roman" w:hAnsi="Calibri" w:cs="Calibri"/>
                <w:color w:val="000000"/>
                <w:lang w:eastAsia="en-GB"/>
              </w:rPr>
            </w:pPr>
            <w:r w:rsidRPr="000F52D2">
              <w:rPr>
                <w:rFonts w:ascii="Calibri" w:eastAsia="Times New Roman" w:hAnsi="Calibri" w:cs="Calibri"/>
                <w:color w:val="000000"/>
                <w:lang w:eastAsia="en-GB"/>
              </w:rPr>
              <w:t>Q3 SES</w:t>
            </w:r>
          </w:p>
        </w:tc>
        <w:tc>
          <w:tcPr>
            <w:tcW w:w="0" w:type="auto"/>
            <w:tcBorders>
              <w:top w:val="nil"/>
              <w:left w:val="nil"/>
              <w:bottom w:val="nil"/>
              <w:right w:val="nil"/>
            </w:tcBorders>
            <w:shd w:val="clear" w:color="auto" w:fill="auto"/>
            <w:noWrap/>
            <w:vAlign w:val="bottom"/>
            <w:hideMark/>
          </w:tcPr>
          <w:p w14:paraId="593C720A"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-0.74</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7EEFCA83"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0.05</w:t>
            </w:r>
          </w:p>
        </w:tc>
        <w:tc>
          <w:tcPr>
            <w:tcW w:w="0" w:type="auto"/>
            <w:tcBorders>
              <w:top w:val="nil"/>
              <w:left w:val="nil"/>
              <w:bottom w:val="nil"/>
              <w:right w:val="nil"/>
            </w:tcBorders>
            <w:shd w:val="clear" w:color="auto" w:fill="auto"/>
            <w:noWrap/>
            <w:vAlign w:val="bottom"/>
            <w:hideMark/>
          </w:tcPr>
          <w:p w14:paraId="5038FE79"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-1.08</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35873D9A"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0.05</w:t>
            </w:r>
          </w:p>
        </w:tc>
        <w:tc>
          <w:tcPr>
            <w:tcW w:w="0" w:type="auto"/>
            <w:tcBorders>
              <w:top w:val="nil"/>
              <w:left w:val="nil"/>
              <w:bottom w:val="nil"/>
              <w:right w:val="nil"/>
            </w:tcBorders>
            <w:shd w:val="clear" w:color="auto" w:fill="auto"/>
            <w:noWrap/>
            <w:vAlign w:val="bottom"/>
            <w:hideMark/>
          </w:tcPr>
          <w:p w14:paraId="20530807"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-1.54</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2C67A82C"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0.06</w:t>
            </w:r>
          </w:p>
        </w:tc>
        <w:tc>
          <w:tcPr>
            <w:tcW w:w="0" w:type="auto"/>
            <w:tcBorders>
              <w:top w:val="nil"/>
              <w:left w:val="nil"/>
              <w:bottom w:val="nil"/>
              <w:right w:val="nil"/>
            </w:tcBorders>
            <w:shd w:val="clear" w:color="auto" w:fill="auto"/>
            <w:noWrap/>
            <w:vAlign w:val="bottom"/>
            <w:hideMark/>
          </w:tcPr>
          <w:p w14:paraId="1FAB593B"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-2.00</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0B8AFD96"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0.07</w:t>
            </w:r>
          </w:p>
        </w:tc>
        <w:tc>
          <w:tcPr>
            <w:tcW w:w="0" w:type="auto"/>
            <w:tcBorders>
              <w:top w:val="nil"/>
              <w:left w:val="nil"/>
              <w:bottom w:val="nil"/>
              <w:right w:val="nil"/>
            </w:tcBorders>
            <w:shd w:val="clear" w:color="auto" w:fill="auto"/>
            <w:noWrap/>
            <w:vAlign w:val="bottom"/>
            <w:hideMark/>
          </w:tcPr>
          <w:p w14:paraId="6E2F0C1A"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-2.12</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1DF02C85"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0.08</w:t>
            </w:r>
          </w:p>
        </w:tc>
      </w:tr>
      <w:tr w:rsidR="00EE311F" w:rsidRPr="000F52D2" w14:paraId="055890CE" w14:textId="77777777" w:rsidTr="00515E57">
        <w:trPr>
          <w:trHeight w:val="290"/>
        </w:trPr>
        <w:tc>
          <w:tcPr>
            <w:tcW w:w="0" w:type="auto"/>
            <w:tcBorders>
              <w:top w:val="nil"/>
              <w:left w:val="nil"/>
              <w:bottom w:val="nil"/>
              <w:right w:val="nil"/>
            </w:tcBorders>
            <w:shd w:val="clear" w:color="auto" w:fill="auto"/>
            <w:noWrap/>
            <w:vAlign w:val="bottom"/>
            <w:hideMark/>
          </w:tcPr>
          <w:p w14:paraId="773BE0E9" w14:textId="77777777" w:rsidR="00EE311F" w:rsidRPr="000F52D2" w:rsidRDefault="00EE311F" w:rsidP="00515E57">
            <w:pPr>
              <w:spacing w:after="0" w:line="240" w:lineRule="auto"/>
              <w:rPr>
                <w:rFonts w:ascii="Calibri" w:eastAsia="Times New Roman" w:hAnsi="Calibri" w:cs="Calibri"/>
                <w:color w:val="000000"/>
                <w:lang w:eastAsia="en-GB"/>
              </w:rPr>
            </w:pPr>
            <w:r w:rsidRPr="000F52D2">
              <w:rPr>
                <w:rFonts w:ascii="Calibri" w:eastAsia="Times New Roman" w:hAnsi="Calibri" w:cs="Calibri"/>
                <w:color w:val="000000"/>
                <w:lang w:eastAsia="en-GB"/>
              </w:rPr>
              <w:t>Highest SES group</w:t>
            </w:r>
          </w:p>
        </w:tc>
        <w:tc>
          <w:tcPr>
            <w:tcW w:w="0" w:type="auto"/>
            <w:tcBorders>
              <w:top w:val="nil"/>
              <w:left w:val="nil"/>
              <w:bottom w:val="nil"/>
              <w:right w:val="nil"/>
            </w:tcBorders>
            <w:shd w:val="clear" w:color="auto" w:fill="auto"/>
            <w:noWrap/>
            <w:vAlign w:val="bottom"/>
            <w:hideMark/>
          </w:tcPr>
          <w:p w14:paraId="4F30448D"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-0.91</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09C2C372"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0.05</w:t>
            </w:r>
          </w:p>
        </w:tc>
        <w:tc>
          <w:tcPr>
            <w:tcW w:w="0" w:type="auto"/>
            <w:tcBorders>
              <w:top w:val="nil"/>
              <w:left w:val="nil"/>
              <w:bottom w:val="nil"/>
              <w:right w:val="nil"/>
            </w:tcBorders>
            <w:shd w:val="clear" w:color="auto" w:fill="auto"/>
            <w:noWrap/>
            <w:vAlign w:val="bottom"/>
            <w:hideMark/>
          </w:tcPr>
          <w:p w14:paraId="0FD0A750"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-1.25</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52AF52B2"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0.05</w:t>
            </w:r>
          </w:p>
        </w:tc>
        <w:tc>
          <w:tcPr>
            <w:tcW w:w="0" w:type="auto"/>
            <w:tcBorders>
              <w:top w:val="nil"/>
              <w:left w:val="nil"/>
              <w:bottom w:val="nil"/>
              <w:right w:val="nil"/>
            </w:tcBorders>
            <w:shd w:val="clear" w:color="auto" w:fill="auto"/>
            <w:noWrap/>
            <w:vAlign w:val="bottom"/>
            <w:hideMark/>
          </w:tcPr>
          <w:p w14:paraId="2B045E11"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-1.76</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61997F20"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0.06</w:t>
            </w:r>
          </w:p>
        </w:tc>
        <w:tc>
          <w:tcPr>
            <w:tcW w:w="0" w:type="auto"/>
            <w:tcBorders>
              <w:top w:val="nil"/>
              <w:left w:val="nil"/>
              <w:bottom w:val="nil"/>
              <w:right w:val="nil"/>
            </w:tcBorders>
            <w:shd w:val="clear" w:color="auto" w:fill="auto"/>
            <w:noWrap/>
            <w:vAlign w:val="bottom"/>
            <w:hideMark/>
          </w:tcPr>
          <w:p w14:paraId="58AEDD5E"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-2.34</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476F4AD2"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0.07</w:t>
            </w:r>
          </w:p>
        </w:tc>
        <w:tc>
          <w:tcPr>
            <w:tcW w:w="0" w:type="auto"/>
            <w:tcBorders>
              <w:top w:val="nil"/>
              <w:left w:val="nil"/>
              <w:bottom w:val="nil"/>
              <w:right w:val="nil"/>
            </w:tcBorders>
            <w:shd w:val="clear" w:color="auto" w:fill="auto"/>
            <w:noWrap/>
            <w:vAlign w:val="bottom"/>
            <w:hideMark/>
          </w:tcPr>
          <w:p w14:paraId="139634CE"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-2.53</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04748680"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0.08</w:t>
            </w:r>
          </w:p>
        </w:tc>
      </w:tr>
      <w:tr w:rsidR="00EE311F" w:rsidRPr="000F52D2" w14:paraId="629AE145" w14:textId="77777777" w:rsidTr="00515E57">
        <w:trPr>
          <w:trHeight w:val="290"/>
        </w:trPr>
        <w:tc>
          <w:tcPr>
            <w:tcW w:w="0" w:type="auto"/>
            <w:tcBorders>
              <w:top w:val="single" w:sz="4" w:space="0" w:color="auto"/>
              <w:left w:val="nil"/>
              <w:bottom w:val="single" w:sz="4" w:space="0" w:color="auto"/>
              <w:right w:val="nil"/>
            </w:tcBorders>
            <w:shd w:val="clear" w:color="auto" w:fill="auto"/>
            <w:noWrap/>
            <w:vAlign w:val="bottom"/>
            <w:hideMark/>
          </w:tcPr>
          <w:p w14:paraId="31B7DA12" w14:textId="77777777" w:rsidR="00EE311F" w:rsidRPr="000F52D2" w:rsidRDefault="00EE311F" w:rsidP="00515E57">
            <w:pPr>
              <w:spacing w:after="0" w:line="240" w:lineRule="auto"/>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N</w:t>
            </w:r>
          </w:p>
        </w:tc>
        <w:tc>
          <w:tcPr>
            <w:tcW w:w="0" w:type="auto"/>
            <w:gridSpan w:val="2"/>
            <w:tcBorders>
              <w:top w:val="single" w:sz="4" w:space="0" w:color="auto"/>
              <w:left w:val="nil"/>
              <w:bottom w:val="single" w:sz="4" w:space="0" w:color="auto"/>
              <w:right w:val="nil"/>
            </w:tcBorders>
            <w:shd w:val="clear" w:color="auto" w:fill="auto"/>
            <w:noWrap/>
            <w:vAlign w:val="bottom"/>
            <w:hideMark/>
          </w:tcPr>
          <w:p w14:paraId="7535B6F5"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112</w:t>
            </w:r>
            <w:r>
              <w:rPr>
                <w:rFonts w:ascii="Calibri" w:eastAsia="Times New Roman" w:hAnsi="Calibri" w:cs="Calibri"/>
                <w:b/>
                <w:bCs/>
                <w:color w:val="000000"/>
                <w:lang w:eastAsia="en-GB"/>
              </w:rPr>
              <w:t>,</w:t>
            </w:r>
            <w:r w:rsidRPr="000F52D2">
              <w:rPr>
                <w:rFonts w:ascii="Calibri" w:eastAsia="Times New Roman" w:hAnsi="Calibri" w:cs="Calibri"/>
                <w:b/>
                <w:bCs/>
                <w:color w:val="000000"/>
                <w:lang w:eastAsia="en-GB"/>
              </w:rPr>
              <w:t>811</w:t>
            </w:r>
          </w:p>
        </w:tc>
        <w:tc>
          <w:tcPr>
            <w:tcW w:w="0" w:type="auto"/>
            <w:gridSpan w:val="2"/>
            <w:tcBorders>
              <w:top w:val="single" w:sz="4" w:space="0" w:color="auto"/>
              <w:left w:val="nil"/>
              <w:bottom w:val="single" w:sz="4" w:space="0" w:color="auto"/>
              <w:right w:val="nil"/>
            </w:tcBorders>
            <w:shd w:val="clear" w:color="auto" w:fill="auto"/>
            <w:noWrap/>
            <w:vAlign w:val="bottom"/>
            <w:hideMark/>
          </w:tcPr>
          <w:p w14:paraId="28B8CDB7"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112</w:t>
            </w:r>
            <w:r>
              <w:rPr>
                <w:rFonts w:ascii="Calibri" w:eastAsia="Times New Roman" w:hAnsi="Calibri" w:cs="Calibri"/>
                <w:b/>
                <w:bCs/>
                <w:color w:val="000000"/>
                <w:lang w:eastAsia="en-GB"/>
              </w:rPr>
              <w:t>,</w:t>
            </w:r>
            <w:r w:rsidRPr="000F52D2">
              <w:rPr>
                <w:rFonts w:ascii="Calibri" w:eastAsia="Times New Roman" w:hAnsi="Calibri" w:cs="Calibri"/>
                <w:b/>
                <w:bCs/>
                <w:color w:val="000000"/>
                <w:lang w:eastAsia="en-GB"/>
              </w:rPr>
              <w:t>418</w:t>
            </w:r>
          </w:p>
        </w:tc>
        <w:tc>
          <w:tcPr>
            <w:tcW w:w="0" w:type="auto"/>
            <w:gridSpan w:val="2"/>
            <w:tcBorders>
              <w:top w:val="single" w:sz="4" w:space="0" w:color="auto"/>
              <w:left w:val="nil"/>
              <w:bottom w:val="single" w:sz="4" w:space="0" w:color="auto"/>
              <w:right w:val="nil"/>
            </w:tcBorders>
            <w:shd w:val="clear" w:color="auto" w:fill="auto"/>
            <w:noWrap/>
            <w:vAlign w:val="bottom"/>
            <w:hideMark/>
          </w:tcPr>
          <w:p w14:paraId="54B8B0EF"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111</w:t>
            </w:r>
            <w:r>
              <w:rPr>
                <w:rFonts w:ascii="Calibri" w:eastAsia="Times New Roman" w:hAnsi="Calibri" w:cs="Calibri"/>
                <w:b/>
                <w:bCs/>
                <w:color w:val="000000"/>
                <w:lang w:eastAsia="en-GB"/>
              </w:rPr>
              <w:t>,</w:t>
            </w:r>
            <w:r w:rsidRPr="000F52D2">
              <w:rPr>
                <w:rFonts w:ascii="Calibri" w:eastAsia="Times New Roman" w:hAnsi="Calibri" w:cs="Calibri"/>
                <w:b/>
                <w:bCs/>
                <w:color w:val="000000"/>
                <w:lang w:eastAsia="en-GB"/>
              </w:rPr>
              <w:t>826</w:t>
            </w:r>
          </w:p>
        </w:tc>
        <w:tc>
          <w:tcPr>
            <w:tcW w:w="0" w:type="auto"/>
            <w:gridSpan w:val="2"/>
            <w:tcBorders>
              <w:top w:val="single" w:sz="4" w:space="0" w:color="auto"/>
              <w:left w:val="nil"/>
              <w:bottom w:val="single" w:sz="4" w:space="0" w:color="auto"/>
              <w:right w:val="nil"/>
            </w:tcBorders>
            <w:shd w:val="clear" w:color="auto" w:fill="auto"/>
            <w:noWrap/>
            <w:vAlign w:val="bottom"/>
            <w:hideMark/>
          </w:tcPr>
          <w:p w14:paraId="4C68974B"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111</w:t>
            </w:r>
            <w:r>
              <w:rPr>
                <w:rFonts w:ascii="Calibri" w:eastAsia="Times New Roman" w:hAnsi="Calibri" w:cs="Calibri"/>
                <w:b/>
                <w:bCs/>
                <w:color w:val="000000"/>
                <w:lang w:eastAsia="en-GB"/>
              </w:rPr>
              <w:t>,</w:t>
            </w:r>
            <w:r w:rsidRPr="000F52D2">
              <w:rPr>
                <w:rFonts w:ascii="Calibri" w:eastAsia="Times New Roman" w:hAnsi="Calibri" w:cs="Calibri"/>
                <w:b/>
                <w:bCs/>
                <w:color w:val="000000"/>
                <w:lang w:eastAsia="en-GB"/>
              </w:rPr>
              <w:t>429</w:t>
            </w:r>
          </w:p>
        </w:tc>
        <w:tc>
          <w:tcPr>
            <w:tcW w:w="0" w:type="auto"/>
            <w:gridSpan w:val="2"/>
            <w:tcBorders>
              <w:top w:val="single" w:sz="4" w:space="0" w:color="auto"/>
              <w:left w:val="nil"/>
              <w:bottom w:val="single" w:sz="4" w:space="0" w:color="auto"/>
              <w:right w:val="nil"/>
            </w:tcBorders>
            <w:shd w:val="clear" w:color="auto" w:fill="auto"/>
            <w:noWrap/>
            <w:vAlign w:val="bottom"/>
            <w:hideMark/>
          </w:tcPr>
          <w:p w14:paraId="6380E33F"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110</w:t>
            </w:r>
            <w:r>
              <w:rPr>
                <w:rFonts w:ascii="Calibri" w:eastAsia="Times New Roman" w:hAnsi="Calibri" w:cs="Calibri"/>
                <w:b/>
                <w:bCs/>
                <w:color w:val="000000"/>
                <w:lang w:eastAsia="en-GB"/>
              </w:rPr>
              <w:t>,</w:t>
            </w:r>
            <w:r w:rsidRPr="000F52D2">
              <w:rPr>
                <w:rFonts w:ascii="Calibri" w:eastAsia="Times New Roman" w:hAnsi="Calibri" w:cs="Calibri"/>
                <w:b/>
                <w:bCs/>
                <w:color w:val="000000"/>
                <w:lang w:eastAsia="en-GB"/>
              </w:rPr>
              <w:t>798</w:t>
            </w:r>
          </w:p>
        </w:tc>
      </w:tr>
    </w:tbl>
    <w:p w14:paraId="6AC0F7CB" w14:textId="77777777" w:rsidR="00EE311F" w:rsidRPr="009A4467" w:rsidRDefault="00EE311F" w:rsidP="00EE311F">
      <w:pPr>
        <w:jc w:val="both"/>
        <w:rPr>
          <w:sz w:val="20"/>
          <w:szCs w:val="20"/>
        </w:rPr>
      </w:pPr>
      <w:r w:rsidRPr="009A4467">
        <w:rPr>
          <w:b/>
          <w:bCs/>
          <w:sz w:val="20"/>
          <w:szCs w:val="20"/>
        </w:rPr>
        <w:t>Notes:</w:t>
      </w:r>
      <w:r w:rsidRPr="009A4467">
        <w:rPr>
          <w:sz w:val="20"/>
          <w:szCs w:val="20"/>
        </w:rPr>
        <w:t xml:space="preserve"> Figures refer to the percentage point difference in school absence rates in comparison to children from disadvantaged socio-economic backgrounds. SE refers to the standard error. Sample restricted to high achieving (young people in the top Key Stage 2 quartile) in Cohort C. Models control for gender, ethnicity, Key Stage 1 and Key Stage 2 test scores, cohort and annual school absence rates during primary school. * indicates statistical significance at the 5% level. See Appendix </w:t>
      </w:r>
      <w:r>
        <w:rPr>
          <w:sz w:val="20"/>
          <w:szCs w:val="20"/>
        </w:rPr>
        <w:t>A</w:t>
      </w:r>
      <w:r w:rsidRPr="009A4467">
        <w:rPr>
          <w:sz w:val="20"/>
          <w:szCs w:val="20"/>
        </w:rPr>
        <w:t xml:space="preserve"> for further detailed results.</w:t>
      </w:r>
    </w:p>
    <w:p w14:paraId="07EF1DE3" w14:textId="77777777" w:rsidR="00EE311F" w:rsidRPr="004C6ADE" w:rsidRDefault="00EE311F" w:rsidP="00EE311F">
      <w:pPr>
        <w:pStyle w:val="ListParagraph"/>
        <w:numPr>
          <w:ilvl w:val="0"/>
          <w:numId w:val="6"/>
        </w:numPr>
        <w:jc w:val="center"/>
      </w:pPr>
      <w:r w:rsidRPr="004C6ADE">
        <w:t>Differences between high-achieving disadvantaged children of different genders and ethnicities.</w:t>
      </w:r>
    </w:p>
    <w:tbl>
      <w:tblPr>
        <w:tblW w:w="10155" w:type="dxa"/>
        <w:tblInd w:w="-556" w:type="dxa"/>
        <w:tblLook w:val="04A0" w:firstRow="1" w:lastRow="0" w:firstColumn="1" w:lastColumn="0" w:noHBand="0" w:noVBand="1"/>
      </w:tblPr>
      <w:tblGrid>
        <w:gridCol w:w="3269"/>
        <w:gridCol w:w="783"/>
        <w:gridCol w:w="607"/>
        <w:gridCol w:w="783"/>
        <w:gridCol w:w="607"/>
        <w:gridCol w:w="783"/>
        <w:gridCol w:w="607"/>
        <w:gridCol w:w="783"/>
        <w:gridCol w:w="607"/>
        <w:gridCol w:w="783"/>
        <w:gridCol w:w="752"/>
      </w:tblGrid>
      <w:tr w:rsidR="00EE311F" w:rsidRPr="000F52D2" w14:paraId="37AAA0A5" w14:textId="77777777" w:rsidTr="00515E57">
        <w:trPr>
          <w:trHeight w:val="290"/>
        </w:trPr>
        <w:tc>
          <w:tcPr>
            <w:tcW w:w="0" w:type="auto"/>
            <w:tcBorders>
              <w:top w:val="single" w:sz="4" w:space="0" w:color="auto"/>
              <w:left w:val="nil"/>
              <w:bottom w:val="nil"/>
              <w:right w:val="nil"/>
            </w:tcBorders>
            <w:shd w:val="clear" w:color="000000" w:fill="B4C6E7"/>
            <w:noWrap/>
            <w:vAlign w:val="bottom"/>
            <w:hideMark/>
          </w:tcPr>
          <w:p w14:paraId="7B5A3998" w14:textId="77777777" w:rsidR="00EE311F" w:rsidRPr="004C6ADE" w:rsidRDefault="00EE311F" w:rsidP="00515E57">
            <w:pPr>
              <w:pStyle w:val="ListParagraph"/>
              <w:spacing w:after="0" w:line="240" w:lineRule="auto"/>
              <w:rPr>
                <w:rFonts w:ascii="Calibri" w:eastAsia="Times New Roman" w:hAnsi="Calibri" w:cs="Calibri"/>
                <w:b/>
                <w:bCs/>
                <w:color w:val="000000"/>
                <w:lang w:eastAsia="en-GB"/>
              </w:rPr>
            </w:pPr>
          </w:p>
        </w:tc>
        <w:tc>
          <w:tcPr>
            <w:tcW w:w="0" w:type="auto"/>
            <w:gridSpan w:val="2"/>
            <w:tcBorders>
              <w:top w:val="single" w:sz="4" w:space="0" w:color="auto"/>
              <w:left w:val="nil"/>
              <w:bottom w:val="nil"/>
              <w:right w:val="nil"/>
            </w:tcBorders>
            <w:shd w:val="clear" w:color="000000" w:fill="B4C6E7"/>
            <w:noWrap/>
            <w:vAlign w:val="bottom"/>
            <w:hideMark/>
          </w:tcPr>
          <w:p w14:paraId="4F607BE5"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Year 7</w:t>
            </w:r>
          </w:p>
        </w:tc>
        <w:tc>
          <w:tcPr>
            <w:tcW w:w="0" w:type="auto"/>
            <w:gridSpan w:val="2"/>
            <w:tcBorders>
              <w:top w:val="single" w:sz="4" w:space="0" w:color="auto"/>
              <w:left w:val="nil"/>
              <w:bottom w:val="nil"/>
              <w:right w:val="nil"/>
            </w:tcBorders>
            <w:shd w:val="clear" w:color="000000" w:fill="B4C6E7"/>
            <w:noWrap/>
            <w:vAlign w:val="bottom"/>
            <w:hideMark/>
          </w:tcPr>
          <w:p w14:paraId="437DEDD0"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Year 8</w:t>
            </w:r>
          </w:p>
        </w:tc>
        <w:tc>
          <w:tcPr>
            <w:tcW w:w="0" w:type="auto"/>
            <w:gridSpan w:val="2"/>
            <w:tcBorders>
              <w:top w:val="single" w:sz="4" w:space="0" w:color="auto"/>
              <w:left w:val="nil"/>
              <w:bottom w:val="nil"/>
              <w:right w:val="nil"/>
            </w:tcBorders>
            <w:shd w:val="clear" w:color="000000" w:fill="B4C6E7"/>
            <w:noWrap/>
            <w:vAlign w:val="bottom"/>
            <w:hideMark/>
          </w:tcPr>
          <w:p w14:paraId="5119146F"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Year 9</w:t>
            </w:r>
          </w:p>
        </w:tc>
        <w:tc>
          <w:tcPr>
            <w:tcW w:w="0" w:type="auto"/>
            <w:gridSpan w:val="2"/>
            <w:tcBorders>
              <w:top w:val="single" w:sz="4" w:space="0" w:color="auto"/>
              <w:left w:val="nil"/>
              <w:bottom w:val="nil"/>
              <w:right w:val="nil"/>
            </w:tcBorders>
            <w:shd w:val="clear" w:color="000000" w:fill="B4C6E7"/>
            <w:noWrap/>
            <w:vAlign w:val="bottom"/>
            <w:hideMark/>
          </w:tcPr>
          <w:p w14:paraId="4A31D84A"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Year 10</w:t>
            </w:r>
          </w:p>
        </w:tc>
        <w:tc>
          <w:tcPr>
            <w:tcW w:w="1490" w:type="dxa"/>
            <w:gridSpan w:val="2"/>
            <w:tcBorders>
              <w:top w:val="single" w:sz="4" w:space="0" w:color="auto"/>
              <w:left w:val="nil"/>
              <w:bottom w:val="nil"/>
              <w:right w:val="nil"/>
            </w:tcBorders>
            <w:shd w:val="clear" w:color="000000" w:fill="B4C6E7"/>
            <w:noWrap/>
            <w:vAlign w:val="bottom"/>
            <w:hideMark/>
          </w:tcPr>
          <w:p w14:paraId="75437349"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Year 11</w:t>
            </w:r>
          </w:p>
        </w:tc>
      </w:tr>
      <w:tr w:rsidR="00EE311F" w:rsidRPr="000F52D2" w14:paraId="0F1C7E09" w14:textId="77777777" w:rsidTr="00515E57">
        <w:trPr>
          <w:trHeight w:val="290"/>
        </w:trPr>
        <w:tc>
          <w:tcPr>
            <w:tcW w:w="0" w:type="auto"/>
            <w:tcBorders>
              <w:top w:val="nil"/>
              <w:left w:val="nil"/>
              <w:bottom w:val="single" w:sz="4" w:space="0" w:color="auto"/>
              <w:right w:val="nil"/>
            </w:tcBorders>
            <w:shd w:val="clear" w:color="000000" w:fill="B4C6E7"/>
            <w:noWrap/>
            <w:vAlign w:val="bottom"/>
            <w:hideMark/>
          </w:tcPr>
          <w:p w14:paraId="27E1ADCA" w14:textId="77777777" w:rsidR="00EE311F" w:rsidRPr="000F52D2" w:rsidRDefault="00EE311F" w:rsidP="00515E57">
            <w:pPr>
              <w:spacing w:after="0" w:line="240" w:lineRule="auto"/>
              <w:rPr>
                <w:rFonts w:ascii="Calibri" w:eastAsia="Times New Roman" w:hAnsi="Calibri" w:cs="Calibri"/>
                <w:b/>
                <w:bCs/>
                <w:color w:val="000000"/>
                <w:lang w:eastAsia="en-GB"/>
              </w:rPr>
            </w:pPr>
          </w:p>
        </w:tc>
        <w:tc>
          <w:tcPr>
            <w:tcW w:w="0" w:type="auto"/>
            <w:tcBorders>
              <w:top w:val="nil"/>
              <w:left w:val="nil"/>
              <w:bottom w:val="single" w:sz="4" w:space="0" w:color="auto"/>
              <w:right w:val="nil"/>
            </w:tcBorders>
            <w:shd w:val="clear" w:color="000000" w:fill="B4C6E7"/>
            <w:noWrap/>
            <w:vAlign w:val="bottom"/>
            <w:hideMark/>
          </w:tcPr>
          <w:p w14:paraId="17D4DBAD"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 diff</w:t>
            </w:r>
          </w:p>
        </w:tc>
        <w:tc>
          <w:tcPr>
            <w:tcW w:w="0" w:type="auto"/>
            <w:tcBorders>
              <w:top w:val="nil"/>
              <w:left w:val="nil"/>
              <w:bottom w:val="single" w:sz="4" w:space="0" w:color="auto"/>
              <w:right w:val="nil"/>
            </w:tcBorders>
            <w:shd w:val="clear" w:color="000000" w:fill="B4C6E7"/>
            <w:noWrap/>
            <w:vAlign w:val="bottom"/>
            <w:hideMark/>
          </w:tcPr>
          <w:p w14:paraId="5BFC45A7"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SE</w:t>
            </w:r>
          </w:p>
        </w:tc>
        <w:tc>
          <w:tcPr>
            <w:tcW w:w="0" w:type="auto"/>
            <w:tcBorders>
              <w:top w:val="nil"/>
              <w:left w:val="nil"/>
              <w:bottom w:val="single" w:sz="4" w:space="0" w:color="auto"/>
              <w:right w:val="nil"/>
            </w:tcBorders>
            <w:shd w:val="clear" w:color="000000" w:fill="B4C6E7"/>
            <w:noWrap/>
            <w:vAlign w:val="bottom"/>
            <w:hideMark/>
          </w:tcPr>
          <w:p w14:paraId="7808EE48"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 diff</w:t>
            </w:r>
          </w:p>
        </w:tc>
        <w:tc>
          <w:tcPr>
            <w:tcW w:w="0" w:type="auto"/>
            <w:tcBorders>
              <w:top w:val="nil"/>
              <w:left w:val="nil"/>
              <w:bottom w:val="single" w:sz="4" w:space="0" w:color="auto"/>
              <w:right w:val="nil"/>
            </w:tcBorders>
            <w:shd w:val="clear" w:color="000000" w:fill="B4C6E7"/>
            <w:noWrap/>
            <w:vAlign w:val="bottom"/>
            <w:hideMark/>
          </w:tcPr>
          <w:p w14:paraId="09AA3F77"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SE</w:t>
            </w:r>
          </w:p>
        </w:tc>
        <w:tc>
          <w:tcPr>
            <w:tcW w:w="0" w:type="auto"/>
            <w:tcBorders>
              <w:top w:val="nil"/>
              <w:left w:val="nil"/>
              <w:bottom w:val="single" w:sz="4" w:space="0" w:color="auto"/>
              <w:right w:val="nil"/>
            </w:tcBorders>
            <w:shd w:val="clear" w:color="000000" w:fill="B4C6E7"/>
            <w:noWrap/>
            <w:vAlign w:val="bottom"/>
            <w:hideMark/>
          </w:tcPr>
          <w:p w14:paraId="63515CB8"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 diff</w:t>
            </w:r>
          </w:p>
        </w:tc>
        <w:tc>
          <w:tcPr>
            <w:tcW w:w="0" w:type="auto"/>
            <w:tcBorders>
              <w:top w:val="nil"/>
              <w:left w:val="nil"/>
              <w:bottom w:val="single" w:sz="4" w:space="0" w:color="auto"/>
              <w:right w:val="nil"/>
            </w:tcBorders>
            <w:shd w:val="clear" w:color="000000" w:fill="B4C6E7"/>
            <w:noWrap/>
            <w:vAlign w:val="bottom"/>
            <w:hideMark/>
          </w:tcPr>
          <w:p w14:paraId="435EEA4B"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SE</w:t>
            </w:r>
          </w:p>
        </w:tc>
        <w:tc>
          <w:tcPr>
            <w:tcW w:w="0" w:type="auto"/>
            <w:tcBorders>
              <w:top w:val="nil"/>
              <w:left w:val="nil"/>
              <w:bottom w:val="single" w:sz="4" w:space="0" w:color="auto"/>
              <w:right w:val="nil"/>
            </w:tcBorders>
            <w:shd w:val="clear" w:color="000000" w:fill="B4C6E7"/>
            <w:noWrap/>
            <w:vAlign w:val="bottom"/>
            <w:hideMark/>
          </w:tcPr>
          <w:p w14:paraId="2B4F04DB"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 diff</w:t>
            </w:r>
          </w:p>
        </w:tc>
        <w:tc>
          <w:tcPr>
            <w:tcW w:w="0" w:type="auto"/>
            <w:tcBorders>
              <w:top w:val="nil"/>
              <w:left w:val="nil"/>
              <w:bottom w:val="single" w:sz="4" w:space="0" w:color="auto"/>
              <w:right w:val="nil"/>
            </w:tcBorders>
            <w:shd w:val="clear" w:color="000000" w:fill="B4C6E7"/>
            <w:noWrap/>
            <w:vAlign w:val="bottom"/>
            <w:hideMark/>
          </w:tcPr>
          <w:p w14:paraId="117A1596"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SE</w:t>
            </w:r>
          </w:p>
        </w:tc>
        <w:tc>
          <w:tcPr>
            <w:tcW w:w="0" w:type="auto"/>
            <w:tcBorders>
              <w:top w:val="nil"/>
              <w:left w:val="nil"/>
              <w:bottom w:val="single" w:sz="4" w:space="0" w:color="auto"/>
              <w:right w:val="nil"/>
            </w:tcBorders>
            <w:shd w:val="clear" w:color="000000" w:fill="B4C6E7"/>
            <w:noWrap/>
            <w:vAlign w:val="bottom"/>
            <w:hideMark/>
          </w:tcPr>
          <w:p w14:paraId="139ACEAC"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 diff</w:t>
            </w:r>
          </w:p>
        </w:tc>
        <w:tc>
          <w:tcPr>
            <w:tcW w:w="752" w:type="dxa"/>
            <w:tcBorders>
              <w:top w:val="nil"/>
              <w:left w:val="nil"/>
              <w:bottom w:val="single" w:sz="4" w:space="0" w:color="auto"/>
              <w:right w:val="nil"/>
            </w:tcBorders>
            <w:shd w:val="clear" w:color="000000" w:fill="B4C6E7"/>
            <w:noWrap/>
            <w:vAlign w:val="bottom"/>
            <w:hideMark/>
          </w:tcPr>
          <w:p w14:paraId="34F75249"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SE</w:t>
            </w:r>
          </w:p>
        </w:tc>
      </w:tr>
      <w:tr w:rsidR="00EE311F" w:rsidRPr="000F52D2" w14:paraId="1F9F94FF" w14:textId="77777777" w:rsidTr="00515E57">
        <w:trPr>
          <w:trHeight w:val="290"/>
        </w:trPr>
        <w:tc>
          <w:tcPr>
            <w:tcW w:w="0" w:type="auto"/>
            <w:tcBorders>
              <w:top w:val="nil"/>
              <w:left w:val="nil"/>
              <w:bottom w:val="nil"/>
              <w:right w:val="nil"/>
            </w:tcBorders>
            <w:shd w:val="clear" w:color="auto" w:fill="auto"/>
            <w:noWrap/>
            <w:vAlign w:val="bottom"/>
            <w:hideMark/>
          </w:tcPr>
          <w:p w14:paraId="531BC5A2" w14:textId="77777777" w:rsidR="00EE311F" w:rsidRPr="000F52D2" w:rsidRDefault="00EE311F" w:rsidP="00515E57">
            <w:pPr>
              <w:spacing w:after="0" w:line="240" w:lineRule="auto"/>
              <w:rPr>
                <w:rFonts w:ascii="Calibri" w:eastAsia="Times New Roman" w:hAnsi="Calibri" w:cs="Calibri"/>
                <w:color w:val="000000"/>
                <w:lang w:eastAsia="en-GB"/>
              </w:rPr>
            </w:pPr>
            <w:r w:rsidRPr="000F52D2">
              <w:rPr>
                <w:rFonts w:ascii="Calibri" w:eastAsia="Times New Roman" w:hAnsi="Calibri" w:cs="Calibri"/>
                <w:color w:val="000000"/>
                <w:lang w:eastAsia="en-GB"/>
              </w:rPr>
              <w:t>White girl</w:t>
            </w:r>
          </w:p>
        </w:tc>
        <w:tc>
          <w:tcPr>
            <w:tcW w:w="0" w:type="auto"/>
            <w:tcBorders>
              <w:top w:val="nil"/>
              <w:left w:val="nil"/>
              <w:bottom w:val="nil"/>
              <w:right w:val="nil"/>
            </w:tcBorders>
            <w:shd w:val="clear" w:color="auto" w:fill="auto"/>
            <w:noWrap/>
            <w:vAlign w:val="bottom"/>
            <w:hideMark/>
          </w:tcPr>
          <w:p w14:paraId="6B79B1B0"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-0.47</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36A2A4F9"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0.10</w:t>
            </w:r>
          </w:p>
        </w:tc>
        <w:tc>
          <w:tcPr>
            <w:tcW w:w="0" w:type="auto"/>
            <w:tcBorders>
              <w:top w:val="nil"/>
              <w:left w:val="nil"/>
              <w:bottom w:val="nil"/>
              <w:right w:val="nil"/>
            </w:tcBorders>
            <w:shd w:val="clear" w:color="auto" w:fill="auto"/>
            <w:noWrap/>
            <w:vAlign w:val="bottom"/>
            <w:hideMark/>
          </w:tcPr>
          <w:p w14:paraId="189FBE00"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-0.08</w:t>
            </w:r>
          </w:p>
        </w:tc>
        <w:tc>
          <w:tcPr>
            <w:tcW w:w="0" w:type="auto"/>
            <w:tcBorders>
              <w:top w:val="nil"/>
              <w:left w:val="nil"/>
              <w:bottom w:val="nil"/>
              <w:right w:val="nil"/>
            </w:tcBorders>
            <w:shd w:val="clear" w:color="auto" w:fill="auto"/>
            <w:noWrap/>
            <w:vAlign w:val="bottom"/>
            <w:hideMark/>
          </w:tcPr>
          <w:p w14:paraId="4348BBCC"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0.11</w:t>
            </w:r>
          </w:p>
        </w:tc>
        <w:tc>
          <w:tcPr>
            <w:tcW w:w="0" w:type="auto"/>
            <w:tcBorders>
              <w:top w:val="nil"/>
              <w:left w:val="nil"/>
              <w:bottom w:val="nil"/>
              <w:right w:val="nil"/>
            </w:tcBorders>
            <w:shd w:val="clear" w:color="auto" w:fill="auto"/>
            <w:noWrap/>
            <w:vAlign w:val="bottom"/>
            <w:hideMark/>
          </w:tcPr>
          <w:p w14:paraId="58596AFB"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0.72</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796A1245"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0.13</w:t>
            </w:r>
          </w:p>
        </w:tc>
        <w:tc>
          <w:tcPr>
            <w:tcW w:w="0" w:type="auto"/>
            <w:tcBorders>
              <w:top w:val="nil"/>
              <w:left w:val="nil"/>
              <w:bottom w:val="nil"/>
              <w:right w:val="nil"/>
            </w:tcBorders>
            <w:shd w:val="clear" w:color="auto" w:fill="auto"/>
            <w:noWrap/>
            <w:vAlign w:val="bottom"/>
            <w:hideMark/>
          </w:tcPr>
          <w:p w14:paraId="754BE144"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0.43</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7B0DE5CF"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0.15</w:t>
            </w:r>
          </w:p>
        </w:tc>
        <w:tc>
          <w:tcPr>
            <w:tcW w:w="0" w:type="auto"/>
            <w:tcBorders>
              <w:top w:val="nil"/>
              <w:left w:val="nil"/>
              <w:bottom w:val="nil"/>
              <w:right w:val="nil"/>
            </w:tcBorders>
            <w:shd w:val="clear" w:color="auto" w:fill="auto"/>
            <w:noWrap/>
            <w:vAlign w:val="bottom"/>
            <w:hideMark/>
          </w:tcPr>
          <w:p w14:paraId="5F363CFE"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0.59</w:t>
            </w:r>
            <w:r>
              <w:rPr>
                <w:rFonts w:ascii="Calibri" w:eastAsia="Times New Roman" w:hAnsi="Calibri" w:cs="Calibri"/>
                <w:color w:val="000000"/>
                <w:lang w:eastAsia="en-GB"/>
              </w:rPr>
              <w:t>*</w:t>
            </w:r>
          </w:p>
        </w:tc>
        <w:tc>
          <w:tcPr>
            <w:tcW w:w="752" w:type="dxa"/>
            <w:tcBorders>
              <w:top w:val="nil"/>
              <w:left w:val="nil"/>
              <w:bottom w:val="nil"/>
              <w:right w:val="nil"/>
            </w:tcBorders>
            <w:shd w:val="clear" w:color="auto" w:fill="auto"/>
            <w:noWrap/>
            <w:vAlign w:val="bottom"/>
            <w:hideMark/>
          </w:tcPr>
          <w:p w14:paraId="3ECED3C9"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0.16</w:t>
            </w:r>
          </w:p>
        </w:tc>
      </w:tr>
      <w:tr w:rsidR="00EE311F" w:rsidRPr="000F52D2" w14:paraId="5FFCA3AB" w14:textId="77777777" w:rsidTr="00515E57">
        <w:trPr>
          <w:trHeight w:val="290"/>
        </w:trPr>
        <w:tc>
          <w:tcPr>
            <w:tcW w:w="0" w:type="auto"/>
            <w:tcBorders>
              <w:top w:val="nil"/>
              <w:left w:val="nil"/>
              <w:bottom w:val="nil"/>
              <w:right w:val="nil"/>
            </w:tcBorders>
            <w:shd w:val="clear" w:color="auto" w:fill="auto"/>
            <w:noWrap/>
            <w:vAlign w:val="bottom"/>
            <w:hideMark/>
          </w:tcPr>
          <w:p w14:paraId="4823BF59" w14:textId="77777777" w:rsidR="00EE311F" w:rsidRPr="000F52D2" w:rsidRDefault="00EE311F" w:rsidP="00515E57">
            <w:pPr>
              <w:spacing w:after="0" w:line="240" w:lineRule="auto"/>
              <w:rPr>
                <w:rFonts w:ascii="Calibri" w:eastAsia="Times New Roman" w:hAnsi="Calibri" w:cs="Calibri"/>
                <w:color w:val="000000"/>
                <w:lang w:eastAsia="en-GB"/>
              </w:rPr>
            </w:pPr>
            <w:r w:rsidRPr="000F52D2">
              <w:rPr>
                <w:rFonts w:ascii="Calibri" w:eastAsia="Times New Roman" w:hAnsi="Calibri" w:cs="Calibri"/>
                <w:color w:val="000000"/>
                <w:lang w:eastAsia="en-GB"/>
              </w:rPr>
              <w:t>Asian boy</w:t>
            </w:r>
          </w:p>
        </w:tc>
        <w:tc>
          <w:tcPr>
            <w:tcW w:w="0" w:type="auto"/>
            <w:tcBorders>
              <w:top w:val="nil"/>
              <w:left w:val="nil"/>
              <w:bottom w:val="nil"/>
              <w:right w:val="nil"/>
            </w:tcBorders>
            <w:shd w:val="clear" w:color="auto" w:fill="auto"/>
            <w:noWrap/>
            <w:vAlign w:val="bottom"/>
            <w:hideMark/>
          </w:tcPr>
          <w:p w14:paraId="1E708277"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-1.26</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5D49CD7F"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0.15</w:t>
            </w:r>
          </w:p>
        </w:tc>
        <w:tc>
          <w:tcPr>
            <w:tcW w:w="0" w:type="auto"/>
            <w:tcBorders>
              <w:top w:val="nil"/>
              <w:left w:val="nil"/>
              <w:bottom w:val="nil"/>
              <w:right w:val="nil"/>
            </w:tcBorders>
            <w:shd w:val="clear" w:color="auto" w:fill="auto"/>
            <w:noWrap/>
            <w:vAlign w:val="bottom"/>
            <w:hideMark/>
          </w:tcPr>
          <w:p w14:paraId="735D58CD"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-1.53</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5F249E3E"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0.17</w:t>
            </w:r>
          </w:p>
        </w:tc>
        <w:tc>
          <w:tcPr>
            <w:tcW w:w="0" w:type="auto"/>
            <w:tcBorders>
              <w:top w:val="nil"/>
              <w:left w:val="nil"/>
              <w:bottom w:val="nil"/>
              <w:right w:val="nil"/>
            </w:tcBorders>
            <w:shd w:val="clear" w:color="auto" w:fill="auto"/>
            <w:noWrap/>
            <w:vAlign w:val="bottom"/>
            <w:hideMark/>
          </w:tcPr>
          <w:p w14:paraId="1AD78E69"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-2.00</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5A7F1C79"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0.20</w:t>
            </w:r>
          </w:p>
        </w:tc>
        <w:tc>
          <w:tcPr>
            <w:tcW w:w="0" w:type="auto"/>
            <w:tcBorders>
              <w:top w:val="nil"/>
              <w:left w:val="nil"/>
              <w:bottom w:val="nil"/>
              <w:right w:val="nil"/>
            </w:tcBorders>
            <w:shd w:val="clear" w:color="auto" w:fill="auto"/>
            <w:noWrap/>
            <w:vAlign w:val="bottom"/>
            <w:hideMark/>
          </w:tcPr>
          <w:p w14:paraId="59742EFD"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-2.34</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593B825D"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0.23</w:t>
            </w:r>
          </w:p>
        </w:tc>
        <w:tc>
          <w:tcPr>
            <w:tcW w:w="0" w:type="auto"/>
            <w:tcBorders>
              <w:top w:val="nil"/>
              <w:left w:val="nil"/>
              <w:bottom w:val="nil"/>
              <w:right w:val="nil"/>
            </w:tcBorders>
            <w:shd w:val="clear" w:color="auto" w:fill="auto"/>
            <w:noWrap/>
            <w:vAlign w:val="bottom"/>
            <w:hideMark/>
          </w:tcPr>
          <w:p w14:paraId="5B051D8C"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-2.81</w:t>
            </w:r>
            <w:r>
              <w:rPr>
                <w:rFonts w:ascii="Calibri" w:eastAsia="Times New Roman" w:hAnsi="Calibri" w:cs="Calibri"/>
                <w:color w:val="000000"/>
                <w:lang w:eastAsia="en-GB"/>
              </w:rPr>
              <w:t>*</w:t>
            </w:r>
          </w:p>
        </w:tc>
        <w:tc>
          <w:tcPr>
            <w:tcW w:w="752" w:type="dxa"/>
            <w:tcBorders>
              <w:top w:val="nil"/>
              <w:left w:val="nil"/>
              <w:bottom w:val="nil"/>
              <w:right w:val="nil"/>
            </w:tcBorders>
            <w:shd w:val="clear" w:color="auto" w:fill="auto"/>
            <w:noWrap/>
            <w:vAlign w:val="bottom"/>
            <w:hideMark/>
          </w:tcPr>
          <w:p w14:paraId="6E4B760C"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0.25</w:t>
            </w:r>
          </w:p>
        </w:tc>
      </w:tr>
      <w:tr w:rsidR="00EE311F" w:rsidRPr="000F52D2" w14:paraId="5E84968C" w14:textId="77777777" w:rsidTr="00515E57">
        <w:trPr>
          <w:trHeight w:val="290"/>
        </w:trPr>
        <w:tc>
          <w:tcPr>
            <w:tcW w:w="0" w:type="auto"/>
            <w:tcBorders>
              <w:top w:val="nil"/>
              <w:left w:val="nil"/>
              <w:bottom w:val="nil"/>
              <w:right w:val="nil"/>
            </w:tcBorders>
            <w:shd w:val="clear" w:color="auto" w:fill="auto"/>
            <w:noWrap/>
            <w:vAlign w:val="bottom"/>
            <w:hideMark/>
          </w:tcPr>
          <w:p w14:paraId="7A1FB3F4" w14:textId="77777777" w:rsidR="00EE311F" w:rsidRPr="000F52D2" w:rsidRDefault="00EE311F" w:rsidP="00515E57">
            <w:pPr>
              <w:spacing w:after="0" w:line="240" w:lineRule="auto"/>
              <w:rPr>
                <w:rFonts w:ascii="Calibri" w:eastAsia="Times New Roman" w:hAnsi="Calibri" w:cs="Calibri"/>
                <w:color w:val="000000"/>
                <w:lang w:eastAsia="en-GB"/>
              </w:rPr>
            </w:pPr>
            <w:r w:rsidRPr="000F52D2">
              <w:rPr>
                <w:rFonts w:ascii="Calibri" w:eastAsia="Times New Roman" w:hAnsi="Calibri" w:cs="Calibri"/>
                <w:color w:val="000000"/>
                <w:lang w:eastAsia="en-GB"/>
              </w:rPr>
              <w:t>Asian girl</w:t>
            </w:r>
          </w:p>
        </w:tc>
        <w:tc>
          <w:tcPr>
            <w:tcW w:w="0" w:type="auto"/>
            <w:tcBorders>
              <w:top w:val="nil"/>
              <w:left w:val="nil"/>
              <w:bottom w:val="nil"/>
              <w:right w:val="nil"/>
            </w:tcBorders>
            <w:shd w:val="clear" w:color="auto" w:fill="auto"/>
            <w:noWrap/>
            <w:vAlign w:val="bottom"/>
            <w:hideMark/>
          </w:tcPr>
          <w:p w14:paraId="2D4799DE"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-1.53</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2EE6A7CD"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0.14</w:t>
            </w:r>
          </w:p>
        </w:tc>
        <w:tc>
          <w:tcPr>
            <w:tcW w:w="0" w:type="auto"/>
            <w:tcBorders>
              <w:top w:val="nil"/>
              <w:left w:val="nil"/>
              <w:bottom w:val="nil"/>
              <w:right w:val="nil"/>
            </w:tcBorders>
            <w:shd w:val="clear" w:color="auto" w:fill="auto"/>
            <w:noWrap/>
            <w:vAlign w:val="bottom"/>
            <w:hideMark/>
          </w:tcPr>
          <w:p w14:paraId="61C02841"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-1.88</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23D53C14"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0.16</w:t>
            </w:r>
          </w:p>
        </w:tc>
        <w:tc>
          <w:tcPr>
            <w:tcW w:w="0" w:type="auto"/>
            <w:tcBorders>
              <w:top w:val="nil"/>
              <w:left w:val="nil"/>
              <w:bottom w:val="nil"/>
              <w:right w:val="nil"/>
            </w:tcBorders>
            <w:shd w:val="clear" w:color="auto" w:fill="auto"/>
            <w:noWrap/>
            <w:vAlign w:val="bottom"/>
            <w:hideMark/>
          </w:tcPr>
          <w:p w14:paraId="466E8569"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-2.08</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1900E530"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0.19</w:t>
            </w:r>
          </w:p>
        </w:tc>
        <w:tc>
          <w:tcPr>
            <w:tcW w:w="0" w:type="auto"/>
            <w:tcBorders>
              <w:top w:val="nil"/>
              <w:left w:val="nil"/>
              <w:bottom w:val="nil"/>
              <w:right w:val="nil"/>
            </w:tcBorders>
            <w:shd w:val="clear" w:color="auto" w:fill="auto"/>
            <w:noWrap/>
            <w:vAlign w:val="bottom"/>
            <w:hideMark/>
          </w:tcPr>
          <w:p w14:paraId="52652652"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-2.47</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0D7C075C"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0.22</w:t>
            </w:r>
          </w:p>
        </w:tc>
        <w:tc>
          <w:tcPr>
            <w:tcW w:w="0" w:type="auto"/>
            <w:tcBorders>
              <w:top w:val="nil"/>
              <w:left w:val="nil"/>
              <w:bottom w:val="nil"/>
              <w:right w:val="nil"/>
            </w:tcBorders>
            <w:shd w:val="clear" w:color="auto" w:fill="auto"/>
            <w:noWrap/>
            <w:vAlign w:val="bottom"/>
            <w:hideMark/>
          </w:tcPr>
          <w:p w14:paraId="6A3319A7"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-2.90</w:t>
            </w:r>
            <w:r>
              <w:rPr>
                <w:rFonts w:ascii="Calibri" w:eastAsia="Times New Roman" w:hAnsi="Calibri" w:cs="Calibri"/>
                <w:color w:val="000000"/>
                <w:lang w:eastAsia="en-GB"/>
              </w:rPr>
              <w:t>*</w:t>
            </w:r>
          </w:p>
        </w:tc>
        <w:tc>
          <w:tcPr>
            <w:tcW w:w="752" w:type="dxa"/>
            <w:tcBorders>
              <w:top w:val="nil"/>
              <w:left w:val="nil"/>
              <w:bottom w:val="nil"/>
              <w:right w:val="nil"/>
            </w:tcBorders>
            <w:shd w:val="clear" w:color="auto" w:fill="auto"/>
            <w:noWrap/>
            <w:vAlign w:val="bottom"/>
            <w:hideMark/>
          </w:tcPr>
          <w:p w14:paraId="456C1594"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0.24</w:t>
            </w:r>
          </w:p>
        </w:tc>
      </w:tr>
      <w:tr w:rsidR="00EE311F" w:rsidRPr="000F52D2" w14:paraId="2362DAD9" w14:textId="77777777" w:rsidTr="00515E57">
        <w:trPr>
          <w:trHeight w:val="290"/>
        </w:trPr>
        <w:tc>
          <w:tcPr>
            <w:tcW w:w="0" w:type="auto"/>
            <w:tcBorders>
              <w:top w:val="nil"/>
              <w:left w:val="nil"/>
              <w:bottom w:val="nil"/>
              <w:right w:val="nil"/>
            </w:tcBorders>
            <w:shd w:val="clear" w:color="auto" w:fill="auto"/>
            <w:noWrap/>
            <w:vAlign w:val="bottom"/>
            <w:hideMark/>
          </w:tcPr>
          <w:p w14:paraId="1F905326" w14:textId="77777777" w:rsidR="00EE311F" w:rsidRPr="000F52D2" w:rsidRDefault="00EE311F" w:rsidP="00515E57">
            <w:pPr>
              <w:spacing w:after="0" w:line="240" w:lineRule="auto"/>
              <w:rPr>
                <w:rFonts w:ascii="Calibri" w:eastAsia="Times New Roman" w:hAnsi="Calibri" w:cs="Calibri"/>
                <w:color w:val="000000"/>
                <w:lang w:eastAsia="en-GB"/>
              </w:rPr>
            </w:pPr>
            <w:r w:rsidRPr="000F52D2">
              <w:rPr>
                <w:rFonts w:ascii="Calibri" w:eastAsia="Times New Roman" w:hAnsi="Calibri" w:cs="Calibri"/>
                <w:color w:val="000000"/>
                <w:lang w:eastAsia="en-GB"/>
              </w:rPr>
              <w:t>Black boy</w:t>
            </w:r>
          </w:p>
        </w:tc>
        <w:tc>
          <w:tcPr>
            <w:tcW w:w="0" w:type="auto"/>
            <w:tcBorders>
              <w:top w:val="nil"/>
              <w:left w:val="nil"/>
              <w:bottom w:val="nil"/>
              <w:right w:val="nil"/>
            </w:tcBorders>
            <w:shd w:val="clear" w:color="auto" w:fill="auto"/>
            <w:noWrap/>
            <w:vAlign w:val="bottom"/>
            <w:hideMark/>
          </w:tcPr>
          <w:p w14:paraId="7ED2ADEB"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-0.99</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73671DC2"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0.18</w:t>
            </w:r>
          </w:p>
        </w:tc>
        <w:tc>
          <w:tcPr>
            <w:tcW w:w="0" w:type="auto"/>
            <w:tcBorders>
              <w:top w:val="nil"/>
              <w:left w:val="nil"/>
              <w:bottom w:val="nil"/>
              <w:right w:val="nil"/>
            </w:tcBorders>
            <w:shd w:val="clear" w:color="auto" w:fill="auto"/>
            <w:noWrap/>
            <w:vAlign w:val="bottom"/>
            <w:hideMark/>
          </w:tcPr>
          <w:p w14:paraId="55ED9263"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-1.25</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1615C3FF"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0.20</w:t>
            </w:r>
          </w:p>
        </w:tc>
        <w:tc>
          <w:tcPr>
            <w:tcW w:w="0" w:type="auto"/>
            <w:tcBorders>
              <w:top w:val="nil"/>
              <w:left w:val="nil"/>
              <w:bottom w:val="nil"/>
              <w:right w:val="nil"/>
            </w:tcBorders>
            <w:shd w:val="clear" w:color="auto" w:fill="auto"/>
            <w:noWrap/>
            <w:vAlign w:val="bottom"/>
            <w:hideMark/>
          </w:tcPr>
          <w:p w14:paraId="5C0CD3EB"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-1.43</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732AC6BE"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0.23</w:t>
            </w:r>
          </w:p>
        </w:tc>
        <w:tc>
          <w:tcPr>
            <w:tcW w:w="0" w:type="auto"/>
            <w:tcBorders>
              <w:top w:val="nil"/>
              <w:left w:val="nil"/>
              <w:bottom w:val="nil"/>
              <w:right w:val="nil"/>
            </w:tcBorders>
            <w:shd w:val="clear" w:color="auto" w:fill="auto"/>
            <w:noWrap/>
            <w:vAlign w:val="bottom"/>
            <w:hideMark/>
          </w:tcPr>
          <w:p w14:paraId="4B176833"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-1.49</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5C054C0F"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0.27</w:t>
            </w:r>
          </w:p>
        </w:tc>
        <w:tc>
          <w:tcPr>
            <w:tcW w:w="0" w:type="auto"/>
            <w:tcBorders>
              <w:top w:val="nil"/>
              <w:left w:val="nil"/>
              <w:bottom w:val="nil"/>
              <w:right w:val="nil"/>
            </w:tcBorders>
            <w:shd w:val="clear" w:color="auto" w:fill="auto"/>
            <w:noWrap/>
            <w:vAlign w:val="bottom"/>
            <w:hideMark/>
          </w:tcPr>
          <w:p w14:paraId="5243CBFE"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-2.02</w:t>
            </w:r>
            <w:r>
              <w:rPr>
                <w:rFonts w:ascii="Calibri" w:eastAsia="Times New Roman" w:hAnsi="Calibri" w:cs="Calibri"/>
                <w:color w:val="000000"/>
                <w:lang w:eastAsia="en-GB"/>
              </w:rPr>
              <w:t>*</w:t>
            </w:r>
          </w:p>
        </w:tc>
        <w:tc>
          <w:tcPr>
            <w:tcW w:w="752" w:type="dxa"/>
            <w:tcBorders>
              <w:top w:val="nil"/>
              <w:left w:val="nil"/>
              <w:bottom w:val="nil"/>
              <w:right w:val="nil"/>
            </w:tcBorders>
            <w:shd w:val="clear" w:color="auto" w:fill="auto"/>
            <w:noWrap/>
            <w:vAlign w:val="bottom"/>
            <w:hideMark/>
          </w:tcPr>
          <w:p w14:paraId="0DF5A25F"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0.30</w:t>
            </w:r>
          </w:p>
        </w:tc>
      </w:tr>
      <w:tr w:rsidR="00EE311F" w:rsidRPr="000F52D2" w14:paraId="18FFD860" w14:textId="77777777" w:rsidTr="00515E57">
        <w:trPr>
          <w:trHeight w:val="290"/>
        </w:trPr>
        <w:tc>
          <w:tcPr>
            <w:tcW w:w="0" w:type="auto"/>
            <w:tcBorders>
              <w:top w:val="nil"/>
              <w:left w:val="nil"/>
              <w:bottom w:val="nil"/>
              <w:right w:val="nil"/>
            </w:tcBorders>
            <w:shd w:val="clear" w:color="auto" w:fill="auto"/>
            <w:noWrap/>
            <w:vAlign w:val="bottom"/>
            <w:hideMark/>
          </w:tcPr>
          <w:p w14:paraId="2272837C" w14:textId="77777777" w:rsidR="00EE311F" w:rsidRPr="000F52D2" w:rsidRDefault="00EE311F" w:rsidP="00515E57">
            <w:pPr>
              <w:spacing w:after="0" w:line="240" w:lineRule="auto"/>
              <w:rPr>
                <w:rFonts w:ascii="Calibri" w:eastAsia="Times New Roman" w:hAnsi="Calibri" w:cs="Calibri"/>
                <w:color w:val="000000"/>
                <w:lang w:eastAsia="en-GB"/>
              </w:rPr>
            </w:pPr>
            <w:r w:rsidRPr="000F52D2">
              <w:rPr>
                <w:rFonts w:ascii="Calibri" w:eastAsia="Times New Roman" w:hAnsi="Calibri" w:cs="Calibri"/>
                <w:color w:val="000000"/>
                <w:lang w:eastAsia="en-GB"/>
              </w:rPr>
              <w:t>Black girl</w:t>
            </w:r>
          </w:p>
        </w:tc>
        <w:tc>
          <w:tcPr>
            <w:tcW w:w="0" w:type="auto"/>
            <w:tcBorders>
              <w:top w:val="nil"/>
              <w:left w:val="nil"/>
              <w:bottom w:val="nil"/>
              <w:right w:val="nil"/>
            </w:tcBorders>
            <w:shd w:val="clear" w:color="auto" w:fill="auto"/>
            <w:noWrap/>
            <w:vAlign w:val="bottom"/>
            <w:hideMark/>
          </w:tcPr>
          <w:p w14:paraId="1E2AFEEC"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-1.51</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72825329"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0.16</w:t>
            </w:r>
          </w:p>
        </w:tc>
        <w:tc>
          <w:tcPr>
            <w:tcW w:w="0" w:type="auto"/>
            <w:tcBorders>
              <w:top w:val="nil"/>
              <w:left w:val="nil"/>
              <w:bottom w:val="nil"/>
              <w:right w:val="nil"/>
            </w:tcBorders>
            <w:shd w:val="clear" w:color="auto" w:fill="auto"/>
            <w:noWrap/>
            <w:vAlign w:val="bottom"/>
            <w:hideMark/>
          </w:tcPr>
          <w:p w14:paraId="0CBD4B47"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-1.56</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54FD8E2D"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0.18</w:t>
            </w:r>
          </w:p>
        </w:tc>
        <w:tc>
          <w:tcPr>
            <w:tcW w:w="0" w:type="auto"/>
            <w:tcBorders>
              <w:top w:val="nil"/>
              <w:left w:val="nil"/>
              <w:bottom w:val="nil"/>
              <w:right w:val="nil"/>
            </w:tcBorders>
            <w:shd w:val="clear" w:color="auto" w:fill="auto"/>
            <w:noWrap/>
            <w:vAlign w:val="bottom"/>
            <w:hideMark/>
          </w:tcPr>
          <w:p w14:paraId="1E4434B5"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-2.00</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39A6CDDC"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0.21</w:t>
            </w:r>
          </w:p>
        </w:tc>
        <w:tc>
          <w:tcPr>
            <w:tcW w:w="0" w:type="auto"/>
            <w:tcBorders>
              <w:top w:val="nil"/>
              <w:left w:val="nil"/>
              <w:bottom w:val="nil"/>
              <w:right w:val="nil"/>
            </w:tcBorders>
            <w:shd w:val="clear" w:color="auto" w:fill="auto"/>
            <w:noWrap/>
            <w:vAlign w:val="bottom"/>
            <w:hideMark/>
          </w:tcPr>
          <w:p w14:paraId="4F343D0C"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-2.06</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2216E42E"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0.25</w:t>
            </w:r>
          </w:p>
        </w:tc>
        <w:tc>
          <w:tcPr>
            <w:tcW w:w="0" w:type="auto"/>
            <w:tcBorders>
              <w:top w:val="nil"/>
              <w:left w:val="nil"/>
              <w:bottom w:val="nil"/>
              <w:right w:val="nil"/>
            </w:tcBorders>
            <w:shd w:val="clear" w:color="auto" w:fill="auto"/>
            <w:noWrap/>
            <w:vAlign w:val="bottom"/>
            <w:hideMark/>
          </w:tcPr>
          <w:p w14:paraId="633C84FC"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-1.98</w:t>
            </w:r>
            <w:r>
              <w:rPr>
                <w:rFonts w:ascii="Calibri" w:eastAsia="Times New Roman" w:hAnsi="Calibri" w:cs="Calibri"/>
                <w:color w:val="000000"/>
                <w:lang w:eastAsia="en-GB"/>
              </w:rPr>
              <w:t>*</w:t>
            </w:r>
          </w:p>
        </w:tc>
        <w:tc>
          <w:tcPr>
            <w:tcW w:w="752" w:type="dxa"/>
            <w:tcBorders>
              <w:top w:val="nil"/>
              <w:left w:val="nil"/>
              <w:bottom w:val="nil"/>
              <w:right w:val="nil"/>
            </w:tcBorders>
            <w:shd w:val="clear" w:color="auto" w:fill="auto"/>
            <w:noWrap/>
            <w:vAlign w:val="bottom"/>
            <w:hideMark/>
          </w:tcPr>
          <w:p w14:paraId="23C6B44E"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0.27</w:t>
            </w:r>
          </w:p>
        </w:tc>
      </w:tr>
      <w:tr w:rsidR="00EE311F" w:rsidRPr="000F52D2" w14:paraId="437E8AC0" w14:textId="77777777" w:rsidTr="00515E57">
        <w:trPr>
          <w:trHeight w:val="290"/>
        </w:trPr>
        <w:tc>
          <w:tcPr>
            <w:tcW w:w="0" w:type="auto"/>
            <w:tcBorders>
              <w:top w:val="nil"/>
              <w:left w:val="nil"/>
              <w:bottom w:val="nil"/>
              <w:right w:val="nil"/>
            </w:tcBorders>
            <w:shd w:val="clear" w:color="auto" w:fill="auto"/>
            <w:noWrap/>
            <w:vAlign w:val="bottom"/>
            <w:hideMark/>
          </w:tcPr>
          <w:p w14:paraId="2A1C8BA8" w14:textId="77777777" w:rsidR="00EE311F" w:rsidRPr="000F52D2" w:rsidRDefault="00EE311F" w:rsidP="00515E57">
            <w:pPr>
              <w:spacing w:after="0" w:line="240" w:lineRule="auto"/>
              <w:rPr>
                <w:rFonts w:ascii="Calibri" w:eastAsia="Times New Roman" w:hAnsi="Calibri" w:cs="Calibri"/>
                <w:color w:val="000000"/>
                <w:lang w:eastAsia="en-GB"/>
              </w:rPr>
            </w:pPr>
            <w:r w:rsidRPr="000F52D2">
              <w:rPr>
                <w:rFonts w:ascii="Calibri" w:eastAsia="Times New Roman" w:hAnsi="Calibri" w:cs="Calibri"/>
                <w:color w:val="000000"/>
                <w:lang w:eastAsia="en-GB"/>
              </w:rPr>
              <w:t>Mixed race boy</w:t>
            </w:r>
          </w:p>
        </w:tc>
        <w:tc>
          <w:tcPr>
            <w:tcW w:w="0" w:type="auto"/>
            <w:tcBorders>
              <w:top w:val="nil"/>
              <w:left w:val="nil"/>
              <w:bottom w:val="nil"/>
              <w:right w:val="nil"/>
            </w:tcBorders>
            <w:shd w:val="clear" w:color="auto" w:fill="auto"/>
            <w:noWrap/>
            <w:vAlign w:val="bottom"/>
            <w:hideMark/>
          </w:tcPr>
          <w:p w14:paraId="24266906"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-0.15</w:t>
            </w:r>
          </w:p>
        </w:tc>
        <w:tc>
          <w:tcPr>
            <w:tcW w:w="0" w:type="auto"/>
            <w:tcBorders>
              <w:top w:val="nil"/>
              <w:left w:val="nil"/>
              <w:bottom w:val="nil"/>
              <w:right w:val="nil"/>
            </w:tcBorders>
            <w:shd w:val="clear" w:color="auto" w:fill="auto"/>
            <w:noWrap/>
            <w:vAlign w:val="bottom"/>
            <w:hideMark/>
          </w:tcPr>
          <w:p w14:paraId="7097DF79"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0.23</w:t>
            </w:r>
          </w:p>
        </w:tc>
        <w:tc>
          <w:tcPr>
            <w:tcW w:w="0" w:type="auto"/>
            <w:tcBorders>
              <w:top w:val="nil"/>
              <w:left w:val="nil"/>
              <w:bottom w:val="nil"/>
              <w:right w:val="nil"/>
            </w:tcBorders>
            <w:shd w:val="clear" w:color="auto" w:fill="auto"/>
            <w:noWrap/>
            <w:vAlign w:val="bottom"/>
            <w:hideMark/>
          </w:tcPr>
          <w:p w14:paraId="0D650C10"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0.24</w:t>
            </w:r>
          </w:p>
        </w:tc>
        <w:tc>
          <w:tcPr>
            <w:tcW w:w="0" w:type="auto"/>
            <w:tcBorders>
              <w:top w:val="nil"/>
              <w:left w:val="nil"/>
              <w:bottom w:val="nil"/>
              <w:right w:val="nil"/>
            </w:tcBorders>
            <w:shd w:val="clear" w:color="auto" w:fill="auto"/>
            <w:noWrap/>
            <w:vAlign w:val="bottom"/>
            <w:hideMark/>
          </w:tcPr>
          <w:p w14:paraId="788C72E3"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0.26</w:t>
            </w:r>
          </w:p>
        </w:tc>
        <w:tc>
          <w:tcPr>
            <w:tcW w:w="0" w:type="auto"/>
            <w:tcBorders>
              <w:top w:val="nil"/>
              <w:left w:val="nil"/>
              <w:bottom w:val="nil"/>
              <w:right w:val="nil"/>
            </w:tcBorders>
            <w:shd w:val="clear" w:color="auto" w:fill="auto"/>
            <w:noWrap/>
            <w:vAlign w:val="bottom"/>
            <w:hideMark/>
          </w:tcPr>
          <w:p w14:paraId="3F206DB2"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-0.35</w:t>
            </w:r>
          </w:p>
        </w:tc>
        <w:tc>
          <w:tcPr>
            <w:tcW w:w="0" w:type="auto"/>
            <w:tcBorders>
              <w:top w:val="nil"/>
              <w:left w:val="nil"/>
              <w:bottom w:val="nil"/>
              <w:right w:val="nil"/>
            </w:tcBorders>
            <w:shd w:val="clear" w:color="auto" w:fill="auto"/>
            <w:noWrap/>
            <w:vAlign w:val="bottom"/>
            <w:hideMark/>
          </w:tcPr>
          <w:p w14:paraId="5A1D099F"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0.31</w:t>
            </w:r>
          </w:p>
        </w:tc>
        <w:tc>
          <w:tcPr>
            <w:tcW w:w="0" w:type="auto"/>
            <w:tcBorders>
              <w:top w:val="nil"/>
              <w:left w:val="nil"/>
              <w:bottom w:val="nil"/>
              <w:right w:val="nil"/>
            </w:tcBorders>
            <w:shd w:val="clear" w:color="auto" w:fill="auto"/>
            <w:noWrap/>
            <w:vAlign w:val="bottom"/>
            <w:hideMark/>
          </w:tcPr>
          <w:p w14:paraId="27070F4D"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-0.11</w:t>
            </w:r>
          </w:p>
        </w:tc>
        <w:tc>
          <w:tcPr>
            <w:tcW w:w="0" w:type="auto"/>
            <w:tcBorders>
              <w:top w:val="nil"/>
              <w:left w:val="nil"/>
              <w:bottom w:val="nil"/>
              <w:right w:val="nil"/>
            </w:tcBorders>
            <w:shd w:val="clear" w:color="auto" w:fill="auto"/>
            <w:noWrap/>
            <w:vAlign w:val="bottom"/>
            <w:hideMark/>
          </w:tcPr>
          <w:p w14:paraId="54E2BE16"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0.37</w:t>
            </w:r>
          </w:p>
        </w:tc>
        <w:tc>
          <w:tcPr>
            <w:tcW w:w="0" w:type="auto"/>
            <w:tcBorders>
              <w:top w:val="nil"/>
              <w:left w:val="nil"/>
              <w:bottom w:val="nil"/>
              <w:right w:val="nil"/>
            </w:tcBorders>
            <w:shd w:val="clear" w:color="auto" w:fill="auto"/>
            <w:noWrap/>
            <w:vAlign w:val="bottom"/>
            <w:hideMark/>
          </w:tcPr>
          <w:p w14:paraId="19A325EA"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0.54</w:t>
            </w:r>
          </w:p>
        </w:tc>
        <w:tc>
          <w:tcPr>
            <w:tcW w:w="752" w:type="dxa"/>
            <w:tcBorders>
              <w:top w:val="nil"/>
              <w:left w:val="nil"/>
              <w:bottom w:val="nil"/>
              <w:right w:val="nil"/>
            </w:tcBorders>
            <w:shd w:val="clear" w:color="auto" w:fill="auto"/>
            <w:noWrap/>
            <w:vAlign w:val="bottom"/>
            <w:hideMark/>
          </w:tcPr>
          <w:p w14:paraId="22F24645"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0.40</w:t>
            </w:r>
          </w:p>
        </w:tc>
      </w:tr>
      <w:tr w:rsidR="00EE311F" w:rsidRPr="000F52D2" w14:paraId="780CC4DA" w14:textId="77777777" w:rsidTr="00515E57">
        <w:trPr>
          <w:trHeight w:val="290"/>
        </w:trPr>
        <w:tc>
          <w:tcPr>
            <w:tcW w:w="0" w:type="auto"/>
            <w:tcBorders>
              <w:top w:val="nil"/>
              <w:left w:val="nil"/>
              <w:bottom w:val="nil"/>
              <w:right w:val="nil"/>
            </w:tcBorders>
            <w:shd w:val="clear" w:color="auto" w:fill="auto"/>
            <w:noWrap/>
            <w:vAlign w:val="bottom"/>
            <w:hideMark/>
          </w:tcPr>
          <w:p w14:paraId="689DBEBD" w14:textId="77777777" w:rsidR="00EE311F" w:rsidRPr="000F52D2" w:rsidRDefault="00EE311F" w:rsidP="00515E57">
            <w:pPr>
              <w:spacing w:after="0" w:line="240" w:lineRule="auto"/>
              <w:rPr>
                <w:rFonts w:ascii="Calibri" w:eastAsia="Times New Roman" w:hAnsi="Calibri" w:cs="Calibri"/>
                <w:color w:val="000000"/>
                <w:lang w:eastAsia="en-GB"/>
              </w:rPr>
            </w:pPr>
            <w:r w:rsidRPr="000F52D2">
              <w:rPr>
                <w:rFonts w:ascii="Calibri" w:eastAsia="Times New Roman" w:hAnsi="Calibri" w:cs="Calibri"/>
                <w:color w:val="000000"/>
                <w:lang w:eastAsia="en-GB"/>
              </w:rPr>
              <w:t>Mixed race girl</w:t>
            </w:r>
          </w:p>
        </w:tc>
        <w:tc>
          <w:tcPr>
            <w:tcW w:w="0" w:type="auto"/>
            <w:tcBorders>
              <w:top w:val="nil"/>
              <w:left w:val="nil"/>
              <w:bottom w:val="nil"/>
              <w:right w:val="nil"/>
            </w:tcBorders>
            <w:shd w:val="clear" w:color="auto" w:fill="auto"/>
            <w:noWrap/>
            <w:vAlign w:val="bottom"/>
            <w:hideMark/>
          </w:tcPr>
          <w:p w14:paraId="06AB5472"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-1.38</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75D34F96"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0.20</w:t>
            </w:r>
          </w:p>
        </w:tc>
        <w:tc>
          <w:tcPr>
            <w:tcW w:w="0" w:type="auto"/>
            <w:tcBorders>
              <w:top w:val="nil"/>
              <w:left w:val="nil"/>
              <w:bottom w:val="nil"/>
              <w:right w:val="nil"/>
            </w:tcBorders>
            <w:shd w:val="clear" w:color="auto" w:fill="auto"/>
            <w:noWrap/>
            <w:vAlign w:val="bottom"/>
            <w:hideMark/>
          </w:tcPr>
          <w:p w14:paraId="46A113D8"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-0.91</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2C83241B"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0.23</w:t>
            </w:r>
          </w:p>
        </w:tc>
        <w:tc>
          <w:tcPr>
            <w:tcW w:w="0" w:type="auto"/>
            <w:tcBorders>
              <w:top w:val="nil"/>
              <w:left w:val="nil"/>
              <w:bottom w:val="nil"/>
              <w:right w:val="nil"/>
            </w:tcBorders>
            <w:shd w:val="clear" w:color="auto" w:fill="auto"/>
            <w:noWrap/>
            <w:vAlign w:val="bottom"/>
            <w:hideMark/>
          </w:tcPr>
          <w:p w14:paraId="3E0CE318"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-0.15</w:t>
            </w:r>
          </w:p>
        </w:tc>
        <w:tc>
          <w:tcPr>
            <w:tcW w:w="0" w:type="auto"/>
            <w:tcBorders>
              <w:top w:val="nil"/>
              <w:left w:val="nil"/>
              <w:bottom w:val="nil"/>
              <w:right w:val="nil"/>
            </w:tcBorders>
            <w:shd w:val="clear" w:color="auto" w:fill="auto"/>
            <w:noWrap/>
            <w:vAlign w:val="bottom"/>
            <w:hideMark/>
          </w:tcPr>
          <w:p w14:paraId="0F70EDE8"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0.27</w:t>
            </w:r>
          </w:p>
        </w:tc>
        <w:tc>
          <w:tcPr>
            <w:tcW w:w="0" w:type="auto"/>
            <w:tcBorders>
              <w:top w:val="nil"/>
              <w:left w:val="nil"/>
              <w:bottom w:val="nil"/>
              <w:right w:val="nil"/>
            </w:tcBorders>
            <w:shd w:val="clear" w:color="auto" w:fill="auto"/>
            <w:noWrap/>
            <w:vAlign w:val="bottom"/>
            <w:hideMark/>
          </w:tcPr>
          <w:p w14:paraId="7A639D1E"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0.03</w:t>
            </w:r>
          </w:p>
        </w:tc>
        <w:tc>
          <w:tcPr>
            <w:tcW w:w="0" w:type="auto"/>
            <w:tcBorders>
              <w:top w:val="nil"/>
              <w:left w:val="nil"/>
              <w:bottom w:val="nil"/>
              <w:right w:val="nil"/>
            </w:tcBorders>
            <w:shd w:val="clear" w:color="auto" w:fill="auto"/>
            <w:noWrap/>
            <w:vAlign w:val="bottom"/>
            <w:hideMark/>
          </w:tcPr>
          <w:p w14:paraId="5A8F7ECF"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0.32</w:t>
            </w:r>
          </w:p>
        </w:tc>
        <w:tc>
          <w:tcPr>
            <w:tcW w:w="0" w:type="auto"/>
            <w:tcBorders>
              <w:top w:val="nil"/>
              <w:left w:val="nil"/>
              <w:bottom w:val="nil"/>
              <w:right w:val="nil"/>
            </w:tcBorders>
            <w:shd w:val="clear" w:color="auto" w:fill="auto"/>
            <w:noWrap/>
            <w:vAlign w:val="bottom"/>
            <w:hideMark/>
          </w:tcPr>
          <w:p w14:paraId="4E00AF3A"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-0.29</w:t>
            </w:r>
          </w:p>
        </w:tc>
        <w:tc>
          <w:tcPr>
            <w:tcW w:w="752" w:type="dxa"/>
            <w:tcBorders>
              <w:top w:val="nil"/>
              <w:left w:val="nil"/>
              <w:bottom w:val="nil"/>
              <w:right w:val="nil"/>
            </w:tcBorders>
            <w:shd w:val="clear" w:color="auto" w:fill="auto"/>
            <w:noWrap/>
            <w:vAlign w:val="bottom"/>
            <w:hideMark/>
          </w:tcPr>
          <w:p w14:paraId="0B4F30B8"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0.35</w:t>
            </w:r>
          </w:p>
        </w:tc>
      </w:tr>
      <w:tr w:rsidR="00EE311F" w:rsidRPr="000F52D2" w14:paraId="4E9A5D04" w14:textId="77777777" w:rsidTr="00515E57">
        <w:trPr>
          <w:trHeight w:val="290"/>
        </w:trPr>
        <w:tc>
          <w:tcPr>
            <w:tcW w:w="0" w:type="auto"/>
            <w:tcBorders>
              <w:top w:val="nil"/>
              <w:left w:val="nil"/>
              <w:bottom w:val="nil"/>
              <w:right w:val="nil"/>
            </w:tcBorders>
            <w:shd w:val="clear" w:color="auto" w:fill="auto"/>
            <w:noWrap/>
            <w:vAlign w:val="bottom"/>
            <w:hideMark/>
          </w:tcPr>
          <w:p w14:paraId="1CE8E060" w14:textId="77777777" w:rsidR="00EE311F" w:rsidRPr="000F52D2" w:rsidRDefault="00EE311F" w:rsidP="00515E57">
            <w:pPr>
              <w:spacing w:after="0" w:line="240" w:lineRule="auto"/>
              <w:rPr>
                <w:rFonts w:ascii="Calibri" w:eastAsia="Times New Roman" w:hAnsi="Calibri" w:cs="Calibri"/>
                <w:color w:val="000000"/>
                <w:lang w:eastAsia="en-GB"/>
              </w:rPr>
            </w:pPr>
            <w:r w:rsidRPr="000F52D2">
              <w:rPr>
                <w:rFonts w:ascii="Calibri" w:eastAsia="Times New Roman" w:hAnsi="Calibri" w:cs="Calibri"/>
                <w:color w:val="000000"/>
                <w:lang w:eastAsia="en-GB"/>
              </w:rPr>
              <w:t>Other ethnicity boy</w:t>
            </w:r>
          </w:p>
        </w:tc>
        <w:tc>
          <w:tcPr>
            <w:tcW w:w="0" w:type="auto"/>
            <w:tcBorders>
              <w:top w:val="nil"/>
              <w:left w:val="nil"/>
              <w:bottom w:val="nil"/>
              <w:right w:val="nil"/>
            </w:tcBorders>
            <w:shd w:val="clear" w:color="auto" w:fill="auto"/>
            <w:noWrap/>
            <w:vAlign w:val="bottom"/>
            <w:hideMark/>
          </w:tcPr>
          <w:p w14:paraId="2CF47C0C"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-1.18</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3A47A28A"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0.24</w:t>
            </w:r>
          </w:p>
        </w:tc>
        <w:tc>
          <w:tcPr>
            <w:tcW w:w="0" w:type="auto"/>
            <w:tcBorders>
              <w:top w:val="nil"/>
              <w:left w:val="nil"/>
              <w:bottom w:val="nil"/>
              <w:right w:val="nil"/>
            </w:tcBorders>
            <w:shd w:val="clear" w:color="auto" w:fill="auto"/>
            <w:noWrap/>
            <w:vAlign w:val="bottom"/>
            <w:hideMark/>
          </w:tcPr>
          <w:p w14:paraId="69335B3A"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-0.86</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723FAAC4"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0.26</w:t>
            </w:r>
          </w:p>
        </w:tc>
        <w:tc>
          <w:tcPr>
            <w:tcW w:w="0" w:type="auto"/>
            <w:tcBorders>
              <w:top w:val="nil"/>
              <w:left w:val="nil"/>
              <w:bottom w:val="nil"/>
              <w:right w:val="nil"/>
            </w:tcBorders>
            <w:shd w:val="clear" w:color="auto" w:fill="auto"/>
            <w:noWrap/>
            <w:vAlign w:val="bottom"/>
            <w:hideMark/>
          </w:tcPr>
          <w:p w14:paraId="0F871439"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-1.61</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4C1F7B4A"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0.31</w:t>
            </w:r>
          </w:p>
        </w:tc>
        <w:tc>
          <w:tcPr>
            <w:tcW w:w="0" w:type="auto"/>
            <w:tcBorders>
              <w:top w:val="nil"/>
              <w:left w:val="nil"/>
              <w:bottom w:val="nil"/>
              <w:right w:val="nil"/>
            </w:tcBorders>
            <w:shd w:val="clear" w:color="auto" w:fill="auto"/>
            <w:noWrap/>
            <w:vAlign w:val="bottom"/>
            <w:hideMark/>
          </w:tcPr>
          <w:p w14:paraId="6EC9A2A4"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-1.06</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487168D6"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0.37</w:t>
            </w:r>
          </w:p>
        </w:tc>
        <w:tc>
          <w:tcPr>
            <w:tcW w:w="0" w:type="auto"/>
            <w:tcBorders>
              <w:top w:val="nil"/>
              <w:left w:val="nil"/>
              <w:bottom w:val="nil"/>
              <w:right w:val="nil"/>
            </w:tcBorders>
            <w:shd w:val="clear" w:color="auto" w:fill="auto"/>
            <w:noWrap/>
            <w:vAlign w:val="bottom"/>
            <w:hideMark/>
          </w:tcPr>
          <w:p w14:paraId="41CFABF0"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-2.06</w:t>
            </w:r>
            <w:r>
              <w:rPr>
                <w:rFonts w:ascii="Calibri" w:eastAsia="Times New Roman" w:hAnsi="Calibri" w:cs="Calibri"/>
                <w:color w:val="000000"/>
                <w:lang w:eastAsia="en-GB"/>
              </w:rPr>
              <w:t>*</w:t>
            </w:r>
          </w:p>
        </w:tc>
        <w:tc>
          <w:tcPr>
            <w:tcW w:w="752" w:type="dxa"/>
            <w:tcBorders>
              <w:top w:val="nil"/>
              <w:left w:val="nil"/>
              <w:bottom w:val="nil"/>
              <w:right w:val="nil"/>
            </w:tcBorders>
            <w:shd w:val="clear" w:color="auto" w:fill="auto"/>
            <w:noWrap/>
            <w:vAlign w:val="bottom"/>
            <w:hideMark/>
          </w:tcPr>
          <w:p w14:paraId="5703F9FE"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0.40</w:t>
            </w:r>
          </w:p>
        </w:tc>
      </w:tr>
      <w:tr w:rsidR="00EE311F" w:rsidRPr="000F52D2" w14:paraId="5AC9E1DA" w14:textId="77777777" w:rsidTr="00515E57">
        <w:trPr>
          <w:trHeight w:val="290"/>
        </w:trPr>
        <w:tc>
          <w:tcPr>
            <w:tcW w:w="0" w:type="auto"/>
            <w:tcBorders>
              <w:top w:val="nil"/>
              <w:left w:val="nil"/>
              <w:bottom w:val="nil"/>
              <w:right w:val="nil"/>
            </w:tcBorders>
            <w:shd w:val="clear" w:color="auto" w:fill="auto"/>
            <w:noWrap/>
            <w:vAlign w:val="bottom"/>
            <w:hideMark/>
          </w:tcPr>
          <w:p w14:paraId="12EF30D5" w14:textId="77777777" w:rsidR="00EE311F" w:rsidRPr="000F52D2" w:rsidRDefault="00EE311F" w:rsidP="00515E57">
            <w:pPr>
              <w:spacing w:after="0" w:line="240" w:lineRule="auto"/>
              <w:rPr>
                <w:rFonts w:ascii="Calibri" w:eastAsia="Times New Roman" w:hAnsi="Calibri" w:cs="Calibri"/>
                <w:color w:val="000000"/>
                <w:lang w:eastAsia="en-GB"/>
              </w:rPr>
            </w:pPr>
            <w:r w:rsidRPr="000F52D2">
              <w:rPr>
                <w:rFonts w:ascii="Calibri" w:eastAsia="Times New Roman" w:hAnsi="Calibri" w:cs="Calibri"/>
                <w:color w:val="000000"/>
                <w:lang w:eastAsia="en-GB"/>
              </w:rPr>
              <w:t>Other ethnicity girl</w:t>
            </w:r>
          </w:p>
        </w:tc>
        <w:tc>
          <w:tcPr>
            <w:tcW w:w="0" w:type="auto"/>
            <w:tcBorders>
              <w:top w:val="nil"/>
              <w:left w:val="nil"/>
              <w:bottom w:val="nil"/>
              <w:right w:val="nil"/>
            </w:tcBorders>
            <w:shd w:val="clear" w:color="auto" w:fill="auto"/>
            <w:noWrap/>
            <w:vAlign w:val="bottom"/>
            <w:hideMark/>
          </w:tcPr>
          <w:p w14:paraId="7D310EB4"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-1.60</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5E0DF97D"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0.22</w:t>
            </w:r>
          </w:p>
        </w:tc>
        <w:tc>
          <w:tcPr>
            <w:tcW w:w="0" w:type="auto"/>
            <w:tcBorders>
              <w:top w:val="nil"/>
              <w:left w:val="nil"/>
              <w:bottom w:val="nil"/>
              <w:right w:val="nil"/>
            </w:tcBorders>
            <w:shd w:val="clear" w:color="auto" w:fill="auto"/>
            <w:noWrap/>
            <w:vAlign w:val="bottom"/>
            <w:hideMark/>
          </w:tcPr>
          <w:p w14:paraId="5929120A"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-1.33</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17A5FD7A"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0.24</w:t>
            </w:r>
          </w:p>
        </w:tc>
        <w:tc>
          <w:tcPr>
            <w:tcW w:w="0" w:type="auto"/>
            <w:tcBorders>
              <w:top w:val="nil"/>
              <w:left w:val="nil"/>
              <w:bottom w:val="nil"/>
              <w:right w:val="nil"/>
            </w:tcBorders>
            <w:shd w:val="clear" w:color="auto" w:fill="auto"/>
            <w:noWrap/>
            <w:vAlign w:val="bottom"/>
            <w:hideMark/>
          </w:tcPr>
          <w:p w14:paraId="55F9DDC0"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-1.34</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6DBD03EF"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0.28</w:t>
            </w:r>
          </w:p>
        </w:tc>
        <w:tc>
          <w:tcPr>
            <w:tcW w:w="0" w:type="auto"/>
            <w:tcBorders>
              <w:top w:val="nil"/>
              <w:left w:val="nil"/>
              <w:bottom w:val="nil"/>
              <w:right w:val="nil"/>
            </w:tcBorders>
            <w:shd w:val="clear" w:color="auto" w:fill="auto"/>
            <w:noWrap/>
            <w:vAlign w:val="bottom"/>
            <w:hideMark/>
          </w:tcPr>
          <w:p w14:paraId="074CEB54"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-1.00</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2CECA09A"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0.33</w:t>
            </w:r>
          </w:p>
        </w:tc>
        <w:tc>
          <w:tcPr>
            <w:tcW w:w="0" w:type="auto"/>
            <w:tcBorders>
              <w:top w:val="nil"/>
              <w:left w:val="nil"/>
              <w:bottom w:val="nil"/>
              <w:right w:val="nil"/>
            </w:tcBorders>
            <w:shd w:val="clear" w:color="auto" w:fill="auto"/>
            <w:noWrap/>
            <w:vAlign w:val="bottom"/>
            <w:hideMark/>
          </w:tcPr>
          <w:p w14:paraId="0CD9F86F"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-1.31</w:t>
            </w:r>
            <w:r>
              <w:rPr>
                <w:rFonts w:ascii="Calibri" w:eastAsia="Times New Roman" w:hAnsi="Calibri" w:cs="Calibri"/>
                <w:color w:val="000000"/>
                <w:lang w:eastAsia="en-GB"/>
              </w:rPr>
              <w:t>*</w:t>
            </w:r>
          </w:p>
        </w:tc>
        <w:tc>
          <w:tcPr>
            <w:tcW w:w="752" w:type="dxa"/>
            <w:tcBorders>
              <w:top w:val="nil"/>
              <w:left w:val="nil"/>
              <w:bottom w:val="nil"/>
              <w:right w:val="nil"/>
            </w:tcBorders>
            <w:shd w:val="clear" w:color="auto" w:fill="auto"/>
            <w:noWrap/>
            <w:vAlign w:val="bottom"/>
            <w:hideMark/>
          </w:tcPr>
          <w:p w14:paraId="211C6E8D"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0.36</w:t>
            </w:r>
          </w:p>
        </w:tc>
      </w:tr>
      <w:tr w:rsidR="00EE311F" w:rsidRPr="000F52D2" w14:paraId="70EAF418" w14:textId="77777777" w:rsidTr="00515E57">
        <w:trPr>
          <w:trHeight w:val="290"/>
        </w:trPr>
        <w:tc>
          <w:tcPr>
            <w:tcW w:w="0" w:type="auto"/>
            <w:tcBorders>
              <w:top w:val="nil"/>
              <w:left w:val="nil"/>
              <w:bottom w:val="nil"/>
              <w:right w:val="nil"/>
            </w:tcBorders>
            <w:shd w:val="clear" w:color="auto" w:fill="auto"/>
            <w:noWrap/>
            <w:vAlign w:val="bottom"/>
            <w:hideMark/>
          </w:tcPr>
          <w:p w14:paraId="0DEA3EBE" w14:textId="77777777" w:rsidR="00EE311F" w:rsidRPr="000F52D2" w:rsidRDefault="00EE311F" w:rsidP="00515E57">
            <w:pPr>
              <w:spacing w:after="0" w:line="240" w:lineRule="auto"/>
              <w:rPr>
                <w:rFonts w:ascii="Calibri" w:eastAsia="Times New Roman" w:hAnsi="Calibri" w:cs="Calibri"/>
                <w:color w:val="000000"/>
                <w:lang w:eastAsia="en-GB"/>
              </w:rPr>
            </w:pPr>
            <w:r w:rsidRPr="000F52D2">
              <w:rPr>
                <w:rFonts w:ascii="Calibri" w:eastAsia="Times New Roman" w:hAnsi="Calibri" w:cs="Calibri"/>
                <w:color w:val="000000"/>
                <w:lang w:eastAsia="en-GB"/>
              </w:rPr>
              <w:t>High achieving, above average SES</w:t>
            </w:r>
          </w:p>
        </w:tc>
        <w:tc>
          <w:tcPr>
            <w:tcW w:w="0" w:type="auto"/>
            <w:tcBorders>
              <w:top w:val="nil"/>
              <w:left w:val="nil"/>
              <w:bottom w:val="nil"/>
              <w:right w:val="nil"/>
            </w:tcBorders>
            <w:shd w:val="clear" w:color="auto" w:fill="auto"/>
            <w:noWrap/>
            <w:vAlign w:val="bottom"/>
            <w:hideMark/>
          </w:tcPr>
          <w:p w14:paraId="6E75AAA1"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-1.33</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331FD7C1"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0.07</w:t>
            </w:r>
          </w:p>
        </w:tc>
        <w:tc>
          <w:tcPr>
            <w:tcW w:w="0" w:type="auto"/>
            <w:tcBorders>
              <w:top w:val="nil"/>
              <w:left w:val="nil"/>
              <w:bottom w:val="nil"/>
              <w:right w:val="nil"/>
            </w:tcBorders>
            <w:shd w:val="clear" w:color="auto" w:fill="auto"/>
            <w:noWrap/>
            <w:vAlign w:val="bottom"/>
            <w:hideMark/>
          </w:tcPr>
          <w:p w14:paraId="67A4C4ED"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-1.54</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3723B2AE"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0.08</w:t>
            </w:r>
          </w:p>
        </w:tc>
        <w:tc>
          <w:tcPr>
            <w:tcW w:w="0" w:type="auto"/>
            <w:tcBorders>
              <w:top w:val="nil"/>
              <w:left w:val="nil"/>
              <w:bottom w:val="nil"/>
              <w:right w:val="nil"/>
            </w:tcBorders>
            <w:shd w:val="clear" w:color="auto" w:fill="auto"/>
            <w:noWrap/>
            <w:vAlign w:val="bottom"/>
            <w:hideMark/>
          </w:tcPr>
          <w:p w14:paraId="6F8A9D57"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-1.74</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33C31488"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0.10</w:t>
            </w:r>
          </w:p>
        </w:tc>
        <w:tc>
          <w:tcPr>
            <w:tcW w:w="0" w:type="auto"/>
            <w:tcBorders>
              <w:top w:val="nil"/>
              <w:left w:val="nil"/>
              <w:bottom w:val="nil"/>
              <w:right w:val="nil"/>
            </w:tcBorders>
            <w:shd w:val="clear" w:color="auto" w:fill="auto"/>
            <w:noWrap/>
            <w:vAlign w:val="bottom"/>
            <w:hideMark/>
          </w:tcPr>
          <w:p w14:paraId="5DF77E0B"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-2.40</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7AAB67A0"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0.12</w:t>
            </w:r>
          </w:p>
        </w:tc>
        <w:tc>
          <w:tcPr>
            <w:tcW w:w="0" w:type="auto"/>
            <w:tcBorders>
              <w:top w:val="nil"/>
              <w:left w:val="nil"/>
              <w:bottom w:val="nil"/>
              <w:right w:val="nil"/>
            </w:tcBorders>
            <w:shd w:val="clear" w:color="auto" w:fill="auto"/>
            <w:noWrap/>
            <w:vAlign w:val="bottom"/>
            <w:hideMark/>
          </w:tcPr>
          <w:p w14:paraId="1CB35A17"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-2.59</w:t>
            </w:r>
            <w:r>
              <w:rPr>
                <w:rFonts w:ascii="Calibri" w:eastAsia="Times New Roman" w:hAnsi="Calibri" w:cs="Calibri"/>
                <w:color w:val="000000"/>
                <w:lang w:eastAsia="en-GB"/>
              </w:rPr>
              <w:t>*</w:t>
            </w:r>
          </w:p>
        </w:tc>
        <w:tc>
          <w:tcPr>
            <w:tcW w:w="752" w:type="dxa"/>
            <w:tcBorders>
              <w:top w:val="nil"/>
              <w:left w:val="nil"/>
              <w:bottom w:val="nil"/>
              <w:right w:val="nil"/>
            </w:tcBorders>
            <w:shd w:val="clear" w:color="auto" w:fill="auto"/>
            <w:noWrap/>
            <w:vAlign w:val="bottom"/>
            <w:hideMark/>
          </w:tcPr>
          <w:p w14:paraId="2793ECAA"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0.13</w:t>
            </w:r>
          </w:p>
        </w:tc>
      </w:tr>
      <w:tr w:rsidR="00EE311F" w:rsidRPr="000F52D2" w14:paraId="2817EDBF" w14:textId="77777777" w:rsidTr="00515E57">
        <w:trPr>
          <w:trHeight w:val="290"/>
        </w:trPr>
        <w:tc>
          <w:tcPr>
            <w:tcW w:w="0" w:type="auto"/>
            <w:tcBorders>
              <w:top w:val="nil"/>
              <w:left w:val="nil"/>
              <w:bottom w:val="nil"/>
              <w:right w:val="nil"/>
            </w:tcBorders>
            <w:shd w:val="clear" w:color="auto" w:fill="auto"/>
            <w:noWrap/>
            <w:vAlign w:val="bottom"/>
            <w:hideMark/>
          </w:tcPr>
          <w:p w14:paraId="00A341B8" w14:textId="77777777" w:rsidR="00EE311F" w:rsidRPr="000F52D2" w:rsidRDefault="00EE311F" w:rsidP="00515E57">
            <w:pPr>
              <w:spacing w:after="0" w:line="240" w:lineRule="auto"/>
              <w:rPr>
                <w:rFonts w:ascii="Calibri" w:eastAsia="Times New Roman" w:hAnsi="Calibri" w:cs="Calibri"/>
                <w:color w:val="000000"/>
                <w:lang w:eastAsia="en-GB"/>
              </w:rPr>
            </w:pPr>
            <w:r w:rsidRPr="000F52D2">
              <w:rPr>
                <w:rFonts w:ascii="Calibri" w:eastAsia="Times New Roman" w:hAnsi="Calibri" w:cs="Calibri"/>
                <w:color w:val="000000"/>
                <w:lang w:eastAsia="en-GB"/>
              </w:rPr>
              <w:t>High achieving, Q3 SES</w:t>
            </w:r>
          </w:p>
        </w:tc>
        <w:tc>
          <w:tcPr>
            <w:tcW w:w="0" w:type="auto"/>
            <w:tcBorders>
              <w:top w:val="nil"/>
              <w:left w:val="nil"/>
              <w:bottom w:val="nil"/>
              <w:right w:val="nil"/>
            </w:tcBorders>
            <w:shd w:val="clear" w:color="auto" w:fill="auto"/>
            <w:noWrap/>
            <w:vAlign w:val="bottom"/>
            <w:hideMark/>
          </w:tcPr>
          <w:p w14:paraId="121CF335"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-1.21</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7BAAF70B"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0.08</w:t>
            </w:r>
          </w:p>
        </w:tc>
        <w:tc>
          <w:tcPr>
            <w:tcW w:w="0" w:type="auto"/>
            <w:tcBorders>
              <w:top w:val="nil"/>
              <w:left w:val="nil"/>
              <w:bottom w:val="nil"/>
              <w:right w:val="nil"/>
            </w:tcBorders>
            <w:shd w:val="clear" w:color="auto" w:fill="auto"/>
            <w:noWrap/>
            <w:vAlign w:val="bottom"/>
            <w:hideMark/>
          </w:tcPr>
          <w:p w14:paraId="68D44E94"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-1.26</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33D76373"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0.09</w:t>
            </w:r>
          </w:p>
        </w:tc>
        <w:tc>
          <w:tcPr>
            <w:tcW w:w="0" w:type="auto"/>
            <w:tcBorders>
              <w:top w:val="nil"/>
              <w:left w:val="nil"/>
              <w:bottom w:val="nil"/>
              <w:right w:val="nil"/>
            </w:tcBorders>
            <w:shd w:val="clear" w:color="auto" w:fill="auto"/>
            <w:noWrap/>
            <w:vAlign w:val="bottom"/>
            <w:hideMark/>
          </w:tcPr>
          <w:p w14:paraId="690F0AE4"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-1.44</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0121BE0D"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0.10</w:t>
            </w:r>
          </w:p>
        </w:tc>
        <w:tc>
          <w:tcPr>
            <w:tcW w:w="0" w:type="auto"/>
            <w:tcBorders>
              <w:top w:val="nil"/>
              <w:left w:val="nil"/>
              <w:bottom w:val="nil"/>
              <w:right w:val="nil"/>
            </w:tcBorders>
            <w:shd w:val="clear" w:color="auto" w:fill="auto"/>
            <w:noWrap/>
            <w:vAlign w:val="bottom"/>
            <w:hideMark/>
          </w:tcPr>
          <w:p w14:paraId="06849772"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-1.89</w:t>
            </w:r>
            <w:r>
              <w:rPr>
                <w:rFonts w:ascii="Calibri" w:eastAsia="Times New Roman" w:hAnsi="Calibri" w:cs="Calibri"/>
                <w:color w:val="000000"/>
                <w:lang w:eastAsia="en-GB"/>
              </w:rPr>
              <w:t>*</w:t>
            </w:r>
          </w:p>
        </w:tc>
        <w:tc>
          <w:tcPr>
            <w:tcW w:w="0" w:type="auto"/>
            <w:tcBorders>
              <w:top w:val="nil"/>
              <w:left w:val="nil"/>
              <w:bottom w:val="nil"/>
              <w:right w:val="nil"/>
            </w:tcBorders>
            <w:shd w:val="clear" w:color="auto" w:fill="auto"/>
            <w:noWrap/>
            <w:vAlign w:val="bottom"/>
            <w:hideMark/>
          </w:tcPr>
          <w:p w14:paraId="27B2B607"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0.12</w:t>
            </w:r>
          </w:p>
        </w:tc>
        <w:tc>
          <w:tcPr>
            <w:tcW w:w="0" w:type="auto"/>
            <w:tcBorders>
              <w:top w:val="nil"/>
              <w:left w:val="nil"/>
              <w:bottom w:val="nil"/>
              <w:right w:val="nil"/>
            </w:tcBorders>
            <w:shd w:val="clear" w:color="auto" w:fill="auto"/>
            <w:noWrap/>
            <w:vAlign w:val="bottom"/>
            <w:hideMark/>
          </w:tcPr>
          <w:p w14:paraId="0DFDDFB4"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-2.16</w:t>
            </w:r>
            <w:r>
              <w:rPr>
                <w:rFonts w:ascii="Calibri" w:eastAsia="Times New Roman" w:hAnsi="Calibri" w:cs="Calibri"/>
                <w:color w:val="000000"/>
                <w:lang w:eastAsia="en-GB"/>
              </w:rPr>
              <w:t>*</w:t>
            </w:r>
          </w:p>
        </w:tc>
        <w:tc>
          <w:tcPr>
            <w:tcW w:w="752" w:type="dxa"/>
            <w:tcBorders>
              <w:top w:val="nil"/>
              <w:left w:val="nil"/>
              <w:bottom w:val="nil"/>
              <w:right w:val="nil"/>
            </w:tcBorders>
            <w:shd w:val="clear" w:color="auto" w:fill="auto"/>
            <w:noWrap/>
            <w:vAlign w:val="bottom"/>
            <w:hideMark/>
          </w:tcPr>
          <w:p w14:paraId="5F7BB692" w14:textId="77777777" w:rsidR="00EE311F" w:rsidRPr="000F52D2" w:rsidRDefault="00EE311F" w:rsidP="00515E57">
            <w:pPr>
              <w:spacing w:after="0" w:line="240" w:lineRule="auto"/>
              <w:jc w:val="center"/>
              <w:rPr>
                <w:rFonts w:ascii="Calibri" w:eastAsia="Times New Roman" w:hAnsi="Calibri" w:cs="Calibri"/>
                <w:color w:val="000000"/>
                <w:lang w:eastAsia="en-GB"/>
              </w:rPr>
            </w:pPr>
            <w:r w:rsidRPr="000F52D2">
              <w:rPr>
                <w:rFonts w:ascii="Calibri" w:eastAsia="Times New Roman" w:hAnsi="Calibri" w:cs="Calibri"/>
                <w:color w:val="000000"/>
                <w:lang w:eastAsia="en-GB"/>
              </w:rPr>
              <w:t>0.13</w:t>
            </w:r>
          </w:p>
        </w:tc>
      </w:tr>
      <w:tr w:rsidR="00EE311F" w:rsidRPr="000F52D2" w14:paraId="2455A5DF" w14:textId="77777777" w:rsidTr="00515E57">
        <w:trPr>
          <w:trHeight w:val="290"/>
        </w:trPr>
        <w:tc>
          <w:tcPr>
            <w:tcW w:w="0" w:type="auto"/>
            <w:tcBorders>
              <w:top w:val="single" w:sz="4" w:space="0" w:color="auto"/>
              <w:left w:val="nil"/>
              <w:bottom w:val="single" w:sz="4" w:space="0" w:color="auto"/>
              <w:right w:val="nil"/>
            </w:tcBorders>
            <w:shd w:val="clear" w:color="auto" w:fill="auto"/>
            <w:noWrap/>
            <w:vAlign w:val="bottom"/>
            <w:hideMark/>
          </w:tcPr>
          <w:p w14:paraId="39088D5B" w14:textId="77777777" w:rsidR="00EE311F" w:rsidRPr="000F52D2" w:rsidRDefault="00EE311F" w:rsidP="00515E57">
            <w:pPr>
              <w:spacing w:after="0" w:line="240" w:lineRule="auto"/>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N</w:t>
            </w:r>
          </w:p>
        </w:tc>
        <w:tc>
          <w:tcPr>
            <w:tcW w:w="0" w:type="auto"/>
            <w:gridSpan w:val="2"/>
            <w:tcBorders>
              <w:top w:val="single" w:sz="4" w:space="0" w:color="auto"/>
              <w:left w:val="nil"/>
              <w:bottom w:val="single" w:sz="4" w:space="0" w:color="auto"/>
              <w:right w:val="nil"/>
            </w:tcBorders>
            <w:shd w:val="clear" w:color="auto" w:fill="auto"/>
            <w:noWrap/>
            <w:vAlign w:val="bottom"/>
            <w:hideMark/>
          </w:tcPr>
          <w:p w14:paraId="1823B527"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112811</w:t>
            </w:r>
          </w:p>
        </w:tc>
        <w:tc>
          <w:tcPr>
            <w:tcW w:w="0" w:type="auto"/>
            <w:gridSpan w:val="2"/>
            <w:tcBorders>
              <w:top w:val="single" w:sz="4" w:space="0" w:color="auto"/>
              <w:left w:val="nil"/>
              <w:bottom w:val="single" w:sz="4" w:space="0" w:color="auto"/>
              <w:right w:val="nil"/>
            </w:tcBorders>
            <w:shd w:val="clear" w:color="auto" w:fill="auto"/>
            <w:noWrap/>
            <w:vAlign w:val="bottom"/>
            <w:hideMark/>
          </w:tcPr>
          <w:p w14:paraId="2CE94B85"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112418</w:t>
            </w:r>
          </w:p>
        </w:tc>
        <w:tc>
          <w:tcPr>
            <w:tcW w:w="0" w:type="auto"/>
            <w:gridSpan w:val="2"/>
            <w:tcBorders>
              <w:top w:val="single" w:sz="4" w:space="0" w:color="auto"/>
              <w:left w:val="nil"/>
              <w:bottom w:val="single" w:sz="4" w:space="0" w:color="auto"/>
              <w:right w:val="nil"/>
            </w:tcBorders>
            <w:shd w:val="clear" w:color="auto" w:fill="auto"/>
            <w:noWrap/>
            <w:vAlign w:val="bottom"/>
            <w:hideMark/>
          </w:tcPr>
          <w:p w14:paraId="0D03098E"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111826</w:t>
            </w:r>
          </w:p>
        </w:tc>
        <w:tc>
          <w:tcPr>
            <w:tcW w:w="0" w:type="auto"/>
            <w:gridSpan w:val="2"/>
            <w:tcBorders>
              <w:top w:val="single" w:sz="4" w:space="0" w:color="auto"/>
              <w:left w:val="nil"/>
              <w:bottom w:val="single" w:sz="4" w:space="0" w:color="auto"/>
              <w:right w:val="nil"/>
            </w:tcBorders>
            <w:shd w:val="clear" w:color="auto" w:fill="auto"/>
            <w:noWrap/>
            <w:vAlign w:val="bottom"/>
            <w:hideMark/>
          </w:tcPr>
          <w:p w14:paraId="48925711"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111429</w:t>
            </w:r>
          </w:p>
        </w:tc>
        <w:tc>
          <w:tcPr>
            <w:tcW w:w="1490" w:type="dxa"/>
            <w:gridSpan w:val="2"/>
            <w:tcBorders>
              <w:top w:val="single" w:sz="4" w:space="0" w:color="auto"/>
              <w:left w:val="nil"/>
              <w:bottom w:val="single" w:sz="4" w:space="0" w:color="auto"/>
              <w:right w:val="nil"/>
            </w:tcBorders>
            <w:shd w:val="clear" w:color="auto" w:fill="auto"/>
            <w:noWrap/>
            <w:vAlign w:val="bottom"/>
            <w:hideMark/>
          </w:tcPr>
          <w:p w14:paraId="3122EFC8" w14:textId="77777777" w:rsidR="00EE311F" w:rsidRPr="000F52D2" w:rsidRDefault="00EE311F" w:rsidP="00515E57">
            <w:pPr>
              <w:spacing w:after="0" w:line="240" w:lineRule="auto"/>
              <w:jc w:val="center"/>
              <w:rPr>
                <w:rFonts w:ascii="Calibri" w:eastAsia="Times New Roman" w:hAnsi="Calibri" w:cs="Calibri"/>
                <w:b/>
                <w:bCs/>
                <w:color w:val="000000"/>
                <w:lang w:eastAsia="en-GB"/>
              </w:rPr>
            </w:pPr>
            <w:r w:rsidRPr="000F52D2">
              <w:rPr>
                <w:rFonts w:ascii="Calibri" w:eastAsia="Times New Roman" w:hAnsi="Calibri" w:cs="Calibri"/>
                <w:b/>
                <w:bCs/>
                <w:color w:val="000000"/>
                <w:lang w:eastAsia="en-GB"/>
              </w:rPr>
              <w:t>110798</w:t>
            </w:r>
          </w:p>
        </w:tc>
      </w:tr>
    </w:tbl>
    <w:p w14:paraId="04C92A2A" w14:textId="77777777" w:rsidR="00EE311F" w:rsidRPr="009A4467" w:rsidRDefault="00EE311F" w:rsidP="00EE311F">
      <w:pPr>
        <w:jc w:val="both"/>
        <w:rPr>
          <w:sz w:val="20"/>
          <w:szCs w:val="20"/>
        </w:rPr>
        <w:sectPr w:rsidR="00EE311F" w:rsidRPr="009A4467" w:rsidSect="00EE311F">
          <w:pgSz w:w="11906" w:h="16838"/>
          <w:pgMar w:top="1440" w:right="1440" w:bottom="1440" w:left="1440" w:header="708" w:footer="708" w:gutter="0"/>
          <w:cols w:space="708"/>
          <w:docGrid w:linePitch="360"/>
        </w:sectPr>
      </w:pPr>
      <w:r w:rsidRPr="009A4467">
        <w:rPr>
          <w:b/>
          <w:bCs/>
          <w:sz w:val="20"/>
          <w:szCs w:val="20"/>
        </w:rPr>
        <w:t>Notes:</w:t>
      </w:r>
      <w:r w:rsidRPr="009A4467">
        <w:rPr>
          <w:sz w:val="20"/>
          <w:szCs w:val="20"/>
        </w:rPr>
        <w:t xml:space="preserve"> Figures refer to the percentage point difference in school absence rates in comparison to children from high-achieving, disadvantaged, white boys. SE refers to the standard error. Sample restricted to high achieving (young people in the top Key Stage 2 quartile) in Cohort C. Models control for Key Stage 1 and Key Stage 2 test scores, cohort and annual school absence rates during primary school. See Appendix </w:t>
      </w:r>
      <w:r>
        <w:rPr>
          <w:sz w:val="20"/>
          <w:szCs w:val="20"/>
        </w:rPr>
        <w:t>A</w:t>
      </w:r>
      <w:r w:rsidRPr="009A4467">
        <w:rPr>
          <w:sz w:val="20"/>
          <w:szCs w:val="20"/>
        </w:rPr>
        <w:t xml:space="preserve"> for further detailed results.</w:t>
      </w:r>
    </w:p>
    <w:p w14:paraId="49D8E742" w14:textId="49AE4797" w:rsidR="00EE311F" w:rsidRDefault="00EE311F" w:rsidP="00161E9A">
      <w:pPr>
        <w:spacing w:line="36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lastRenderedPageBreak/>
        <w:t>Figure 2 builds on these results by investigating differences across genders and ethnic groups. Findings for boys are presented on the left, with those for girls on the right.</w:t>
      </w:r>
    </w:p>
    <w:p w14:paraId="560FBEDF" w14:textId="27D8F918" w:rsidR="005225C5" w:rsidRDefault="005225C5" w:rsidP="00161E9A">
      <w:pPr>
        <w:spacing w:line="360" w:lineRule="auto"/>
        <w:jc w:val="both"/>
        <w:rPr>
          <w:rStyle w:val="Hyperlink"/>
          <w:rFonts w:ascii="Times New Roman" w:hAnsi="Times New Roman" w:cs="Times New Roman"/>
          <w:color w:val="000000" w:themeColor="text1"/>
          <w:sz w:val="24"/>
          <w:szCs w:val="24"/>
          <w:u w:val="none"/>
        </w:rPr>
      </w:pPr>
      <w:r w:rsidRPr="005225C5">
        <w:rPr>
          <w:rStyle w:val="Hyperlink"/>
          <w:rFonts w:ascii="Times New Roman" w:hAnsi="Times New Roman" w:cs="Times New Roman"/>
          <w:color w:val="000000" w:themeColor="text1"/>
          <w:sz w:val="24"/>
          <w:szCs w:val="24"/>
          <w:u w:val="none"/>
        </w:rPr>
        <w:t>The</w:t>
      </w:r>
      <w:r>
        <w:rPr>
          <w:rStyle w:val="Hyperlink"/>
          <w:rFonts w:ascii="Times New Roman" w:hAnsi="Times New Roman" w:cs="Times New Roman"/>
          <w:color w:val="000000" w:themeColor="text1"/>
          <w:sz w:val="24"/>
          <w:szCs w:val="24"/>
          <w:u w:val="none"/>
        </w:rPr>
        <w:t xml:space="preserve"> broad pattern for initially high-achieving,</w:t>
      </w:r>
      <w:r w:rsidR="002846B0">
        <w:rPr>
          <w:rStyle w:val="Hyperlink"/>
          <w:rFonts w:ascii="Times New Roman" w:hAnsi="Times New Roman" w:cs="Times New Roman"/>
          <w:color w:val="000000" w:themeColor="text1"/>
          <w:sz w:val="24"/>
          <w:szCs w:val="24"/>
          <w:u w:val="none"/>
        </w:rPr>
        <w:t xml:space="preserve"> disadvantaged boys and girls is similar. The starkest result being the higher rates of absence amongst White and mixed-race ethnic groups in comparison to their Asian and Black peers. For instance</w:t>
      </w:r>
      <w:r w:rsidR="000102E6">
        <w:rPr>
          <w:rStyle w:val="Hyperlink"/>
          <w:rFonts w:ascii="Times New Roman" w:hAnsi="Times New Roman" w:cs="Times New Roman"/>
          <w:color w:val="000000" w:themeColor="text1"/>
          <w:sz w:val="24"/>
          <w:szCs w:val="24"/>
          <w:u w:val="none"/>
        </w:rPr>
        <w:t xml:space="preserve">, </w:t>
      </w:r>
      <w:r w:rsidR="00245A3A">
        <w:rPr>
          <w:rStyle w:val="Hyperlink"/>
          <w:rFonts w:ascii="Times New Roman" w:hAnsi="Times New Roman" w:cs="Times New Roman"/>
          <w:color w:val="000000" w:themeColor="text1"/>
          <w:sz w:val="24"/>
          <w:szCs w:val="24"/>
          <w:u w:val="none"/>
        </w:rPr>
        <w:t>high achieving</w:t>
      </w:r>
      <w:r w:rsidR="000102E6">
        <w:rPr>
          <w:rStyle w:val="Hyperlink"/>
          <w:rFonts w:ascii="Times New Roman" w:hAnsi="Times New Roman" w:cs="Times New Roman"/>
          <w:color w:val="000000" w:themeColor="text1"/>
          <w:sz w:val="24"/>
          <w:szCs w:val="24"/>
          <w:u w:val="none"/>
        </w:rPr>
        <w:t>, disadvantaged White and Asian girls have broadly similar absence rates during primary school (see Figure 2b, left of the vertical green line). Yet, during secondary school (right of the dashed green line in Figure 2b) their respective sch</w:t>
      </w:r>
      <w:r w:rsidR="00245A3A">
        <w:rPr>
          <w:rStyle w:val="Hyperlink"/>
          <w:rFonts w:ascii="Times New Roman" w:hAnsi="Times New Roman" w:cs="Times New Roman"/>
          <w:color w:val="000000" w:themeColor="text1"/>
          <w:sz w:val="24"/>
          <w:szCs w:val="24"/>
          <w:u w:val="none"/>
        </w:rPr>
        <w:t xml:space="preserve">ool absence rates clearly diverge. As a result, by Year 10, </w:t>
      </w:r>
      <w:r w:rsidR="00B84DB9">
        <w:rPr>
          <w:rStyle w:val="Hyperlink"/>
          <w:rFonts w:ascii="Times New Roman" w:hAnsi="Times New Roman" w:cs="Times New Roman"/>
          <w:color w:val="000000" w:themeColor="text1"/>
          <w:sz w:val="24"/>
          <w:szCs w:val="24"/>
          <w:u w:val="none"/>
        </w:rPr>
        <w:t>initially high-achieving disadvantaged White girls are (on average) missing around 8.5% of school sessions compared to only around 5%</w:t>
      </w:r>
      <w:r w:rsidR="00161E9A">
        <w:rPr>
          <w:rStyle w:val="Hyperlink"/>
          <w:rFonts w:ascii="Times New Roman" w:hAnsi="Times New Roman" w:cs="Times New Roman"/>
          <w:color w:val="000000" w:themeColor="text1"/>
          <w:sz w:val="24"/>
          <w:szCs w:val="24"/>
          <w:u w:val="none"/>
        </w:rPr>
        <w:t xml:space="preserve"> of their equally able Asian peers. This equates to a difference of around seven extra days of lost learning over the course of an academic year. </w:t>
      </w:r>
    </w:p>
    <w:p w14:paraId="40DA0F92" w14:textId="6EBFDD2A" w:rsidR="00EE311F" w:rsidRDefault="009A6905" w:rsidP="00EE311F">
      <w:pPr>
        <w:spacing w:line="360" w:lineRule="auto"/>
        <w:jc w:val="both"/>
        <w:rPr>
          <w:b/>
          <w:bCs/>
        </w:rPr>
      </w:pPr>
      <w:r>
        <w:rPr>
          <w:rStyle w:val="Hyperlink"/>
          <w:rFonts w:ascii="Times New Roman" w:hAnsi="Times New Roman" w:cs="Times New Roman"/>
          <w:color w:val="000000" w:themeColor="text1"/>
          <w:sz w:val="24"/>
          <w:szCs w:val="24"/>
          <w:u w:val="none"/>
        </w:rPr>
        <w:t>Table 1b formalises these descriptive results by presenting estimates from our regression models, focusing on pupils in Cohort C. Figures again refer to percentage point differences in the absence ra</w:t>
      </w:r>
      <w:r w:rsidR="004E7105">
        <w:rPr>
          <w:rStyle w:val="Hyperlink"/>
          <w:rFonts w:ascii="Times New Roman" w:hAnsi="Times New Roman" w:cs="Times New Roman"/>
          <w:color w:val="000000" w:themeColor="text1"/>
          <w:sz w:val="24"/>
          <w:szCs w:val="24"/>
          <w:u w:val="none"/>
        </w:rPr>
        <w:t xml:space="preserve">te compared to initially high-achieving disadvantaged White boys as the reference group. Consistent with Figure 2, there is a clear gap in school absences between White boys and Asian/Black pupils (regardless of </w:t>
      </w:r>
      <w:r w:rsidR="00872078">
        <w:rPr>
          <w:rStyle w:val="Hyperlink"/>
          <w:rFonts w:ascii="Times New Roman" w:hAnsi="Times New Roman" w:cs="Times New Roman"/>
          <w:color w:val="000000" w:themeColor="text1"/>
          <w:sz w:val="24"/>
          <w:szCs w:val="24"/>
          <w:u w:val="none"/>
        </w:rPr>
        <w:t xml:space="preserve">their </w:t>
      </w:r>
      <w:r w:rsidR="004E7105">
        <w:rPr>
          <w:rStyle w:val="Hyperlink"/>
          <w:rFonts w:ascii="Times New Roman" w:hAnsi="Times New Roman" w:cs="Times New Roman"/>
          <w:color w:val="000000" w:themeColor="text1"/>
          <w:sz w:val="24"/>
          <w:szCs w:val="24"/>
          <w:u w:val="none"/>
        </w:rPr>
        <w:t xml:space="preserve">gender) already apparent in Year 7, but grows further still as high-achieving but socio-economically disadvantaged young people progress through secondary school. </w:t>
      </w:r>
    </w:p>
    <w:p w14:paraId="089417EE" w14:textId="77777777" w:rsidR="00EE311F" w:rsidRDefault="00EE311F" w:rsidP="00EE311F">
      <w:pPr>
        <w:rPr>
          <w:b/>
          <w:bCs/>
        </w:rPr>
        <w:sectPr w:rsidR="00EE311F" w:rsidSect="00EE311F">
          <w:pgSz w:w="11906" w:h="16838"/>
          <w:pgMar w:top="1440" w:right="1440" w:bottom="1440" w:left="1440" w:header="708" w:footer="708" w:gutter="0"/>
          <w:cols w:space="708"/>
          <w:docGrid w:linePitch="360"/>
        </w:sectPr>
      </w:pPr>
    </w:p>
    <w:p w14:paraId="3466A84E" w14:textId="77777777" w:rsidR="00EE311F" w:rsidRDefault="00EE311F" w:rsidP="00EE311F">
      <w:pPr>
        <w:jc w:val="center"/>
        <w:rPr>
          <w:b/>
          <w:bCs/>
        </w:rPr>
      </w:pPr>
      <w:r>
        <w:rPr>
          <w:b/>
          <w:bCs/>
        </w:rPr>
        <w:lastRenderedPageBreak/>
        <w:t>Figure 2.  Absence rates amongst high-achieving disadvantaged children. Results by gender and ethnicity.</w:t>
      </w:r>
    </w:p>
    <w:p w14:paraId="61537D91" w14:textId="77777777" w:rsidR="00EE311F" w:rsidRDefault="00EE311F" w:rsidP="00EE311F">
      <w:pPr>
        <w:pStyle w:val="ListParagraph"/>
        <w:numPr>
          <w:ilvl w:val="0"/>
          <w:numId w:val="5"/>
        </w:numPr>
        <w:rPr>
          <w:b/>
          <w:bCs/>
        </w:rPr>
      </w:pPr>
      <w:r>
        <w:rPr>
          <w:b/>
          <w:bCs/>
        </w:rPr>
        <w:t>Boys</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(b) Girls</w:t>
      </w:r>
    </w:p>
    <w:p w14:paraId="5B051D95" w14:textId="77777777" w:rsidR="00EE311F" w:rsidRDefault="00EE311F" w:rsidP="00EE311F">
      <w:pPr>
        <w:rPr>
          <w:b/>
          <w:bCs/>
        </w:rPr>
      </w:pPr>
      <w:r>
        <w:rPr>
          <w:noProof/>
        </w:rPr>
        <w:drawing>
          <wp:inline distT="0" distB="0" distL="0" distR="0" wp14:anchorId="131F16B9" wp14:editId="2AB7660A">
            <wp:extent cx="4943192" cy="5232400"/>
            <wp:effectExtent l="0" t="0" r="0" b="6350"/>
            <wp:docPr id="974642117" name="Chart 974642117">
              <a:extLst xmlns:a="http://schemas.openxmlformats.org/drawingml/2006/main">
                <a:ext uri="{FF2B5EF4-FFF2-40B4-BE49-F238E27FC236}">
                  <a16:creationId xmlns:a16="http://schemas.microsoft.com/office/drawing/2014/main" id="{0510A033-0F04-467B-9B8A-6DAFBF3EC6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rPr>
        <w:drawing>
          <wp:inline distT="0" distB="0" distL="0" distR="0" wp14:anchorId="58D25543" wp14:editId="181DDE0F">
            <wp:extent cx="4753070" cy="5255260"/>
            <wp:effectExtent l="0" t="0" r="0" b="2540"/>
            <wp:docPr id="551739807" name="Chart 551739807">
              <a:extLst xmlns:a="http://schemas.openxmlformats.org/drawingml/2006/main">
                <a:ext uri="{FF2B5EF4-FFF2-40B4-BE49-F238E27FC236}">
                  <a16:creationId xmlns:a16="http://schemas.microsoft.com/office/drawing/2014/main" id="{C9DDE883-B9F3-48FA-B3B7-C9528484A4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4CCB45" w14:textId="77777777" w:rsidR="00EE311F" w:rsidRPr="009A4467" w:rsidRDefault="00EE311F" w:rsidP="00EE311F">
      <w:pPr>
        <w:sectPr w:rsidR="00EE311F" w:rsidRPr="009A4467" w:rsidSect="00EE311F">
          <w:pgSz w:w="16838" w:h="11906" w:orient="landscape"/>
          <w:pgMar w:top="720" w:right="720" w:bottom="720" w:left="720" w:header="708" w:footer="708" w:gutter="0"/>
          <w:cols w:space="708"/>
          <w:docGrid w:linePitch="360"/>
        </w:sectPr>
      </w:pPr>
      <w:r>
        <w:rPr>
          <w:b/>
          <w:bCs/>
        </w:rPr>
        <w:t>Notes:</w:t>
      </w:r>
      <w:r>
        <w:t xml:space="preserve"> Figures refer to the percent of sessions missed. Vertical dashed green line illustrates the transition between the end of primary (Year 6) and start of secondary (Year) school. See Appendix A for further detailed results.</w:t>
      </w:r>
    </w:p>
    <w:p w14:paraId="556FCC6C" w14:textId="788A9CDE" w:rsidR="002D76ED" w:rsidRPr="0081090C" w:rsidRDefault="002D76ED" w:rsidP="002D76ED">
      <w:pPr>
        <w:rPr>
          <w:rStyle w:val="Hyperlink"/>
          <w:rFonts w:ascii="Times New Roman" w:hAnsi="Times New Roman" w:cs="Times New Roman"/>
          <w:color w:val="000000" w:themeColor="text1"/>
          <w:sz w:val="24"/>
          <w:szCs w:val="24"/>
        </w:rPr>
      </w:pPr>
      <w:r w:rsidRPr="0081090C">
        <w:rPr>
          <w:rStyle w:val="Hyperlink"/>
          <w:rFonts w:ascii="Times New Roman" w:hAnsi="Times New Roman" w:cs="Times New Roman"/>
          <w:color w:val="000000" w:themeColor="text1"/>
          <w:sz w:val="24"/>
          <w:szCs w:val="24"/>
        </w:rPr>
        <w:lastRenderedPageBreak/>
        <w:t>Research question 2. School exclusions.</w:t>
      </w:r>
    </w:p>
    <w:p w14:paraId="16A9AADC" w14:textId="51948E64" w:rsidR="00EE311F" w:rsidRDefault="00BD1342" w:rsidP="007E4959">
      <w:pPr>
        <w:spacing w:line="36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Figure 3 and Table 2b present socio-economic differences in fixed-term exclusions during</w:t>
      </w:r>
      <w:r w:rsidR="00B22505">
        <w:rPr>
          <w:rStyle w:val="Hyperlink"/>
          <w:rFonts w:ascii="Times New Roman" w:hAnsi="Times New Roman" w:cs="Times New Roman"/>
          <w:color w:val="000000" w:themeColor="text1"/>
          <w:sz w:val="24"/>
          <w:szCs w:val="24"/>
          <w:u w:val="none"/>
        </w:rPr>
        <w:t xml:space="preserve"> secondary school amongst pupils with</w:t>
      </w:r>
      <w:r w:rsidR="0082120E">
        <w:rPr>
          <w:rStyle w:val="Hyperlink"/>
          <w:rFonts w:ascii="Times New Roman" w:hAnsi="Times New Roman" w:cs="Times New Roman"/>
          <w:color w:val="000000" w:themeColor="text1"/>
          <w:sz w:val="24"/>
          <w:szCs w:val="24"/>
          <w:u w:val="none"/>
        </w:rPr>
        <w:t>in</w:t>
      </w:r>
      <w:r w:rsidR="00B22505">
        <w:rPr>
          <w:rStyle w:val="Hyperlink"/>
          <w:rFonts w:ascii="Times New Roman" w:hAnsi="Times New Roman" w:cs="Times New Roman"/>
          <w:color w:val="000000" w:themeColor="text1"/>
          <w:sz w:val="24"/>
          <w:szCs w:val="24"/>
          <w:u w:val="none"/>
        </w:rPr>
        <w:t xml:space="preserve"> </w:t>
      </w:r>
      <w:r w:rsidR="0082120E">
        <w:rPr>
          <w:rStyle w:val="Hyperlink"/>
          <w:rFonts w:ascii="Times New Roman" w:hAnsi="Times New Roman" w:cs="Times New Roman"/>
          <w:color w:val="000000" w:themeColor="text1"/>
          <w:sz w:val="24"/>
          <w:szCs w:val="24"/>
          <w:u w:val="none"/>
        </w:rPr>
        <w:t>the top</w:t>
      </w:r>
      <w:r w:rsidR="00B22505">
        <w:rPr>
          <w:rStyle w:val="Hyperlink"/>
          <w:rFonts w:ascii="Times New Roman" w:hAnsi="Times New Roman" w:cs="Times New Roman"/>
          <w:color w:val="000000" w:themeColor="text1"/>
          <w:sz w:val="24"/>
          <w:szCs w:val="24"/>
          <w:u w:val="none"/>
        </w:rPr>
        <w:t xml:space="preserve"> Key Stage 2 </w:t>
      </w:r>
      <w:r w:rsidR="0082120E">
        <w:rPr>
          <w:rStyle w:val="Hyperlink"/>
          <w:rFonts w:ascii="Times New Roman" w:hAnsi="Times New Roman" w:cs="Times New Roman"/>
          <w:color w:val="000000" w:themeColor="text1"/>
          <w:sz w:val="24"/>
          <w:szCs w:val="24"/>
          <w:u w:val="none"/>
        </w:rPr>
        <w:t>quartile</w:t>
      </w:r>
      <w:r w:rsidR="00B22505">
        <w:rPr>
          <w:rStyle w:val="Hyperlink"/>
          <w:rFonts w:ascii="Times New Roman" w:hAnsi="Times New Roman" w:cs="Times New Roman"/>
          <w:color w:val="000000" w:themeColor="text1"/>
          <w:sz w:val="24"/>
          <w:szCs w:val="24"/>
          <w:u w:val="none"/>
        </w:rPr>
        <w:t>. Both illustrate how fixed-term exclusions are substantially higher amongst disadvantaged high-achieving young people than their more advantaged peers, even during the first stages of secondary school. Take Year 7, for example. Just 0.2% of high-achieving pupils from the most advantaged socio-economic backgrounds receive a fixed-term exclusion in their first year of secondary school, compared to 1.5% of those from disadvantaged backgrounds (odds ratio in Table 2a of 0.16)</w:t>
      </w:r>
      <w:r w:rsidR="00FA68AF">
        <w:rPr>
          <w:rStyle w:val="FootnoteReference"/>
          <w:rFonts w:ascii="Times New Roman" w:hAnsi="Times New Roman" w:cs="Times New Roman"/>
          <w:color w:val="000000" w:themeColor="text1"/>
          <w:sz w:val="24"/>
          <w:szCs w:val="24"/>
        </w:rPr>
        <w:footnoteReference w:id="9"/>
      </w:r>
      <w:r w:rsidR="00B22505">
        <w:rPr>
          <w:rStyle w:val="Hyperlink"/>
          <w:rFonts w:ascii="Times New Roman" w:hAnsi="Times New Roman" w:cs="Times New Roman"/>
          <w:color w:val="000000" w:themeColor="text1"/>
          <w:sz w:val="24"/>
          <w:szCs w:val="24"/>
          <w:u w:val="none"/>
        </w:rPr>
        <w:t>.</w:t>
      </w:r>
      <w:r w:rsidR="00893387">
        <w:rPr>
          <w:rStyle w:val="Hyperlink"/>
          <w:rFonts w:ascii="Times New Roman" w:hAnsi="Times New Roman" w:cs="Times New Roman"/>
          <w:color w:val="000000" w:themeColor="text1"/>
          <w:sz w:val="24"/>
          <w:szCs w:val="24"/>
          <w:u w:val="none"/>
        </w:rPr>
        <w:t xml:space="preserve"> Appendix B illustrates how similar results are obtained for each of the three school cohorts (see Appendix Figures B1 and B3).  </w:t>
      </w:r>
    </w:p>
    <w:p w14:paraId="320961B8" w14:textId="77777777" w:rsidR="00EE311F" w:rsidRDefault="00EE311F" w:rsidP="00EE311F">
      <w:pPr>
        <w:spacing w:after="0"/>
        <w:jc w:val="center"/>
        <w:rPr>
          <w:b/>
          <w:bCs/>
        </w:rPr>
      </w:pPr>
      <w:r w:rsidRPr="0024717A">
        <w:rPr>
          <w:b/>
          <w:bCs/>
        </w:rPr>
        <w:t xml:space="preserve">Figure </w:t>
      </w:r>
      <w:r>
        <w:rPr>
          <w:b/>
          <w:bCs/>
        </w:rPr>
        <w:t>3</w:t>
      </w:r>
      <w:r w:rsidRPr="0024717A">
        <w:rPr>
          <w:b/>
          <w:bCs/>
        </w:rPr>
        <w:t xml:space="preserve">. Average </w:t>
      </w:r>
      <w:r>
        <w:rPr>
          <w:b/>
          <w:bCs/>
        </w:rPr>
        <w:t>fixed exclusion rates</w:t>
      </w:r>
      <w:r w:rsidRPr="0024717A">
        <w:rPr>
          <w:b/>
          <w:bCs/>
        </w:rPr>
        <w:t xml:space="preserve"> of high-achieving children from socio-economically advantaged and disadvantaged backgrounds.</w:t>
      </w:r>
    </w:p>
    <w:p w14:paraId="2CF6AB42" w14:textId="77777777" w:rsidR="00EE311F" w:rsidRDefault="00EE311F" w:rsidP="00EE311F">
      <w:pPr>
        <w:spacing w:after="0"/>
        <w:jc w:val="center"/>
        <w:rPr>
          <w:b/>
          <w:bCs/>
        </w:rPr>
      </w:pPr>
      <w:r>
        <w:rPr>
          <w:noProof/>
        </w:rPr>
        <w:drawing>
          <wp:inline distT="0" distB="0" distL="0" distR="0" wp14:anchorId="4F1DA9FB" wp14:editId="400ED847">
            <wp:extent cx="6228784" cy="3512744"/>
            <wp:effectExtent l="0" t="0" r="635" b="0"/>
            <wp:docPr id="1870618915" name="Chart 1870618915">
              <a:extLst xmlns:a="http://schemas.openxmlformats.org/drawingml/2006/main">
                <a:ext uri="{FF2B5EF4-FFF2-40B4-BE49-F238E27FC236}">
                  <a16:creationId xmlns:a16="http://schemas.microsoft.com/office/drawing/2014/main" id="{4A2251EC-85ED-42DC-900C-6A97D4FF93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C08A0B0" w14:textId="0E14CD89" w:rsidR="00EE311F" w:rsidRPr="00EE311F" w:rsidRDefault="00EE311F" w:rsidP="00EE311F">
      <w:pPr>
        <w:spacing w:line="276" w:lineRule="auto"/>
        <w:jc w:val="both"/>
        <w:rPr>
          <w:rStyle w:val="Hyperlink"/>
          <w:rFonts w:ascii="Times New Roman" w:hAnsi="Times New Roman" w:cs="Times New Roman"/>
          <w:color w:val="000000" w:themeColor="text1"/>
          <w:sz w:val="20"/>
          <w:szCs w:val="20"/>
          <w:u w:val="none"/>
        </w:rPr>
      </w:pPr>
      <w:r w:rsidRPr="00EE311F">
        <w:rPr>
          <w:sz w:val="20"/>
          <w:szCs w:val="20"/>
        </w:rPr>
        <w:t>Notes: Figures refer to the percent of pupils receiving a fixed-term exclusion during secondary school. Data pooled across the three cohorts. See Appendix B for further detailed results.</w:t>
      </w:r>
    </w:p>
    <w:p w14:paraId="2F524926" w14:textId="77777777" w:rsidR="00EE311F" w:rsidRDefault="00EE311F" w:rsidP="00EE311F">
      <w:pPr>
        <w:jc w:val="center"/>
        <w:rPr>
          <w:b/>
          <w:bCs/>
        </w:rPr>
      </w:pPr>
    </w:p>
    <w:p w14:paraId="0D1BDD1D" w14:textId="77777777" w:rsidR="00EE311F" w:rsidRDefault="00EE311F" w:rsidP="00EE311F">
      <w:pPr>
        <w:jc w:val="center"/>
        <w:rPr>
          <w:b/>
          <w:bCs/>
        </w:rPr>
      </w:pPr>
    </w:p>
    <w:p w14:paraId="188E6786" w14:textId="02CCFD3E" w:rsidR="00EE311F" w:rsidRDefault="00EE311F" w:rsidP="00EE311F">
      <w:pPr>
        <w:jc w:val="center"/>
        <w:rPr>
          <w:b/>
          <w:bCs/>
        </w:rPr>
      </w:pPr>
      <w:r>
        <w:rPr>
          <w:b/>
          <w:bCs/>
        </w:rPr>
        <w:lastRenderedPageBreak/>
        <w:t>Table 2. Logistic regression estimates of the difference in secondary school fixed exclusion rates across high-achieving children from different socio-economic backgrounds. Odds ratios.</w:t>
      </w:r>
    </w:p>
    <w:p w14:paraId="2A264F68" w14:textId="77777777" w:rsidR="00EE311F" w:rsidRDefault="00EE311F" w:rsidP="00EE311F">
      <w:pPr>
        <w:pStyle w:val="ListParagraph"/>
        <w:numPr>
          <w:ilvl w:val="0"/>
          <w:numId w:val="7"/>
        </w:numPr>
        <w:jc w:val="center"/>
      </w:pPr>
      <w:r w:rsidRPr="004C6ADE">
        <w:t>Differences across socio-economic groups</w:t>
      </w:r>
    </w:p>
    <w:tbl>
      <w:tblPr>
        <w:tblW w:w="6860" w:type="dxa"/>
        <w:jc w:val="center"/>
        <w:tblLook w:val="04A0" w:firstRow="1" w:lastRow="0" w:firstColumn="1" w:lastColumn="0" w:noHBand="0" w:noVBand="1"/>
      </w:tblPr>
      <w:tblGrid>
        <w:gridCol w:w="1840"/>
        <w:gridCol w:w="960"/>
        <w:gridCol w:w="960"/>
        <w:gridCol w:w="1060"/>
        <w:gridCol w:w="1080"/>
        <w:gridCol w:w="960"/>
      </w:tblGrid>
      <w:tr w:rsidR="00EE311F" w:rsidRPr="00AE05D1" w14:paraId="223DAFFA" w14:textId="77777777" w:rsidTr="00515E57">
        <w:trPr>
          <w:trHeight w:val="290"/>
          <w:jc w:val="center"/>
        </w:trPr>
        <w:tc>
          <w:tcPr>
            <w:tcW w:w="1840" w:type="dxa"/>
            <w:tcBorders>
              <w:top w:val="single" w:sz="4" w:space="0" w:color="auto"/>
              <w:left w:val="nil"/>
              <w:bottom w:val="single" w:sz="4" w:space="0" w:color="auto"/>
              <w:right w:val="nil"/>
            </w:tcBorders>
            <w:shd w:val="clear" w:color="000000" w:fill="B4C6E7"/>
            <w:noWrap/>
            <w:vAlign w:val="bottom"/>
            <w:hideMark/>
          </w:tcPr>
          <w:p w14:paraId="1AC10673" w14:textId="77777777" w:rsidR="00EE311F" w:rsidRPr="00AE05D1" w:rsidRDefault="00EE311F" w:rsidP="00515E57">
            <w:pPr>
              <w:spacing w:after="0" w:line="240" w:lineRule="auto"/>
              <w:rPr>
                <w:rFonts w:ascii="Calibri" w:eastAsia="Times New Roman" w:hAnsi="Calibri" w:cs="Calibri"/>
                <w:color w:val="000000"/>
                <w:lang w:eastAsia="en-GB"/>
              </w:rPr>
            </w:pPr>
            <w:r w:rsidRPr="00AE05D1">
              <w:rPr>
                <w:rFonts w:ascii="Calibri" w:eastAsia="Times New Roman" w:hAnsi="Calibri" w:cs="Calibri"/>
                <w:color w:val="000000"/>
                <w:lang w:eastAsia="en-GB"/>
              </w:rPr>
              <w:t> </w:t>
            </w:r>
          </w:p>
        </w:tc>
        <w:tc>
          <w:tcPr>
            <w:tcW w:w="960" w:type="dxa"/>
            <w:tcBorders>
              <w:top w:val="single" w:sz="4" w:space="0" w:color="auto"/>
              <w:left w:val="nil"/>
              <w:bottom w:val="single" w:sz="4" w:space="0" w:color="auto"/>
              <w:right w:val="nil"/>
            </w:tcBorders>
            <w:shd w:val="clear" w:color="000000" w:fill="B4C6E7"/>
            <w:noWrap/>
            <w:vAlign w:val="bottom"/>
            <w:hideMark/>
          </w:tcPr>
          <w:p w14:paraId="7A21300F" w14:textId="77777777" w:rsidR="00EE311F" w:rsidRPr="00AE05D1" w:rsidRDefault="00EE311F" w:rsidP="00515E57">
            <w:pPr>
              <w:spacing w:after="0" w:line="240" w:lineRule="auto"/>
              <w:jc w:val="center"/>
              <w:rPr>
                <w:rFonts w:ascii="Calibri" w:eastAsia="Times New Roman" w:hAnsi="Calibri" w:cs="Calibri"/>
                <w:b/>
                <w:bCs/>
                <w:color w:val="000000"/>
                <w:lang w:eastAsia="en-GB"/>
              </w:rPr>
            </w:pPr>
            <w:r w:rsidRPr="00AE05D1">
              <w:rPr>
                <w:rFonts w:ascii="Calibri" w:eastAsia="Times New Roman" w:hAnsi="Calibri" w:cs="Calibri"/>
                <w:b/>
                <w:bCs/>
                <w:color w:val="000000"/>
                <w:lang w:eastAsia="en-GB"/>
              </w:rPr>
              <w:t>Year 7</w:t>
            </w:r>
          </w:p>
        </w:tc>
        <w:tc>
          <w:tcPr>
            <w:tcW w:w="960" w:type="dxa"/>
            <w:tcBorders>
              <w:top w:val="single" w:sz="4" w:space="0" w:color="auto"/>
              <w:left w:val="nil"/>
              <w:bottom w:val="single" w:sz="4" w:space="0" w:color="auto"/>
              <w:right w:val="nil"/>
            </w:tcBorders>
            <w:shd w:val="clear" w:color="000000" w:fill="B4C6E7"/>
            <w:noWrap/>
            <w:vAlign w:val="bottom"/>
            <w:hideMark/>
          </w:tcPr>
          <w:p w14:paraId="663D97D3" w14:textId="77777777" w:rsidR="00EE311F" w:rsidRPr="00AE05D1" w:rsidRDefault="00EE311F" w:rsidP="00515E57">
            <w:pPr>
              <w:spacing w:after="0" w:line="240" w:lineRule="auto"/>
              <w:jc w:val="center"/>
              <w:rPr>
                <w:rFonts w:ascii="Calibri" w:eastAsia="Times New Roman" w:hAnsi="Calibri" w:cs="Calibri"/>
                <w:b/>
                <w:bCs/>
                <w:color w:val="000000"/>
                <w:lang w:eastAsia="en-GB"/>
              </w:rPr>
            </w:pPr>
            <w:r w:rsidRPr="00AE05D1">
              <w:rPr>
                <w:rFonts w:ascii="Calibri" w:eastAsia="Times New Roman" w:hAnsi="Calibri" w:cs="Calibri"/>
                <w:b/>
                <w:bCs/>
                <w:color w:val="000000"/>
                <w:lang w:eastAsia="en-GB"/>
              </w:rPr>
              <w:t>Year 8</w:t>
            </w:r>
          </w:p>
        </w:tc>
        <w:tc>
          <w:tcPr>
            <w:tcW w:w="1060" w:type="dxa"/>
            <w:tcBorders>
              <w:top w:val="single" w:sz="4" w:space="0" w:color="auto"/>
              <w:left w:val="nil"/>
              <w:bottom w:val="single" w:sz="4" w:space="0" w:color="auto"/>
              <w:right w:val="nil"/>
            </w:tcBorders>
            <w:shd w:val="clear" w:color="000000" w:fill="B4C6E7"/>
            <w:noWrap/>
            <w:vAlign w:val="bottom"/>
            <w:hideMark/>
          </w:tcPr>
          <w:p w14:paraId="63F6548A" w14:textId="77777777" w:rsidR="00EE311F" w:rsidRPr="00AE05D1" w:rsidRDefault="00EE311F" w:rsidP="00515E57">
            <w:pPr>
              <w:spacing w:after="0" w:line="240" w:lineRule="auto"/>
              <w:jc w:val="center"/>
              <w:rPr>
                <w:rFonts w:ascii="Calibri" w:eastAsia="Times New Roman" w:hAnsi="Calibri" w:cs="Calibri"/>
                <w:b/>
                <w:bCs/>
                <w:color w:val="000000"/>
                <w:lang w:eastAsia="en-GB"/>
              </w:rPr>
            </w:pPr>
            <w:r w:rsidRPr="00AE05D1">
              <w:rPr>
                <w:rFonts w:ascii="Calibri" w:eastAsia="Times New Roman" w:hAnsi="Calibri" w:cs="Calibri"/>
                <w:b/>
                <w:bCs/>
                <w:color w:val="000000"/>
                <w:lang w:eastAsia="en-GB"/>
              </w:rPr>
              <w:t>Year 9</w:t>
            </w:r>
          </w:p>
        </w:tc>
        <w:tc>
          <w:tcPr>
            <w:tcW w:w="1080" w:type="dxa"/>
            <w:tcBorders>
              <w:top w:val="single" w:sz="4" w:space="0" w:color="auto"/>
              <w:left w:val="nil"/>
              <w:bottom w:val="single" w:sz="4" w:space="0" w:color="auto"/>
              <w:right w:val="nil"/>
            </w:tcBorders>
            <w:shd w:val="clear" w:color="000000" w:fill="B4C6E7"/>
            <w:noWrap/>
            <w:vAlign w:val="bottom"/>
            <w:hideMark/>
          </w:tcPr>
          <w:p w14:paraId="7C1618A2" w14:textId="77777777" w:rsidR="00EE311F" w:rsidRPr="00AE05D1" w:rsidRDefault="00EE311F" w:rsidP="00515E57">
            <w:pPr>
              <w:spacing w:after="0" w:line="240" w:lineRule="auto"/>
              <w:jc w:val="center"/>
              <w:rPr>
                <w:rFonts w:ascii="Calibri" w:eastAsia="Times New Roman" w:hAnsi="Calibri" w:cs="Calibri"/>
                <w:b/>
                <w:bCs/>
                <w:color w:val="000000"/>
                <w:lang w:eastAsia="en-GB"/>
              </w:rPr>
            </w:pPr>
            <w:r w:rsidRPr="00AE05D1">
              <w:rPr>
                <w:rFonts w:ascii="Calibri" w:eastAsia="Times New Roman" w:hAnsi="Calibri" w:cs="Calibri"/>
                <w:b/>
                <w:bCs/>
                <w:color w:val="000000"/>
                <w:lang w:eastAsia="en-GB"/>
              </w:rPr>
              <w:t>Year 10</w:t>
            </w:r>
          </w:p>
        </w:tc>
        <w:tc>
          <w:tcPr>
            <w:tcW w:w="960" w:type="dxa"/>
            <w:tcBorders>
              <w:top w:val="single" w:sz="4" w:space="0" w:color="auto"/>
              <w:left w:val="nil"/>
              <w:bottom w:val="single" w:sz="4" w:space="0" w:color="auto"/>
              <w:right w:val="nil"/>
            </w:tcBorders>
            <w:shd w:val="clear" w:color="000000" w:fill="B4C6E7"/>
            <w:noWrap/>
            <w:vAlign w:val="bottom"/>
            <w:hideMark/>
          </w:tcPr>
          <w:p w14:paraId="76BBEB45" w14:textId="77777777" w:rsidR="00EE311F" w:rsidRPr="00AE05D1" w:rsidRDefault="00EE311F" w:rsidP="00515E57">
            <w:pPr>
              <w:spacing w:after="0" w:line="240" w:lineRule="auto"/>
              <w:jc w:val="center"/>
              <w:rPr>
                <w:rFonts w:ascii="Calibri" w:eastAsia="Times New Roman" w:hAnsi="Calibri" w:cs="Calibri"/>
                <w:b/>
                <w:bCs/>
                <w:color w:val="000000"/>
                <w:lang w:eastAsia="en-GB"/>
              </w:rPr>
            </w:pPr>
            <w:r w:rsidRPr="00AE05D1">
              <w:rPr>
                <w:rFonts w:ascii="Calibri" w:eastAsia="Times New Roman" w:hAnsi="Calibri" w:cs="Calibri"/>
                <w:b/>
                <w:bCs/>
                <w:color w:val="000000"/>
                <w:lang w:eastAsia="en-GB"/>
              </w:rPr>
              <w:t>Year 11</w:t>
            </w:r>
          </w:p>
        </w:tc>
      </w:tr>
      <w:tr w:rsidR="00EE311F" w:rsidRPr="00AE05D1" w14:paraId="40FBBEE2" w14:textId="77777777" w:rsidTr="00515E57">
        <w:trPr>
          <w:trHeight w:val="290"/>
          <w:jc w:val="center"/>
        </w:trPr>
        <w:tc>
          <w:tcPr>
            <w:tcW w:w="1840" w:type="dxa"/>
            <w:tcBorders>
              <w:top w:val="nil"/>
              <w:left w:val="nil"/>
              <w:bottom w:val="nil"/>
              <w:right w:val="nil"/>
            </w:tcBorders>
            <w:shd w:val="clear" w:color="auto" w:fill="auto"/>
            <w:noWrap/>
            <w:vAlign w:val="bottom"/>
            <w:hideMark/>
          </w:tcPr>
          <w:p w14:paraId="3394D1AD" w14:textId="77777777" w:rsidR="00EE311F" w:rsidRPr="00AE05D1" w:rsidRDefault="00EE311F" w:rsidP="00515E57">
            <w:pPr>
              <w:spacing w:after="0" w:line="240" w:lineRule="auto"/>
              <w:rPr>
                <w:rFonts w:ascii="Calibri" w:eastAsia="Times New Roman" w:hAnsi="Calibri" w:cs="Calibri"/>
                <w:color w:val="000000"/>
                <w:lang w:eastAsia="en-GB"/>
              </w:rPr>
            </w:pPr>
            <w:r w:rsidRPr="00AE05D1">
              <w:rPr>
                <w:rFonts w:ascii="Calibri" w:eastAsia="Times New Roman" w:hAnsi="Calibri" w:cs="Calibri"/>
                <w:color w:val="000000"/>
                <w:lang w:eastAsia="en-GB"/>
              </w:rPr>
              <w:t>Q2 SES</w:t>
            </w:r>
          </w:p>
        </w:tc>
        <w:tc>
          <w:tcPr>
            <w:tcW w:w="960" w:type="dxa"/>
            <w:tcBorders>
              <w:top w:val="nil"/>
              <w:left w:val="nil"/>
              <w:bottom w:val="nil"/>
              <w:right w:val="nil"/>
            </w:tcBorders>
            <w:shd w:val="clear" w:color="auto" w:fill="auto"/>
            <w:noWrap/>
            <w:vAlign w:val="bottom"/>
            <w:hideMark/>
          </w:tcPr>
          <w:p w14:paraId="6F3CBB1A" w14:textId="77777777" w:rsidR="00EE311F" w:rsidRPr="00AE05D1" w:rsidRDefault="00EE311F" w:rsidP="00515E57">
            <w:pPr>
              <w:spacing w:after="0" w:line="240" w:lineRule="auto"/>
              <w:jc w:val="center"/>
              <w:rPr>
                <w:rFonts w:ascii="Calibri" w:eastAsia="Times New Roman" w:hAnsi="Calibri" w:cs="Calibri"/>
                <w:color w:val="000000"/>
                <w:lang w:eastAsia="en-GB"/>
              </w:rPr>
            </w:pPr>
            <w:r w:rsidRPr="00AE05D1">
              <w:rPr>
                <w:rFonts w:ascii="Calibri" w:eastAsia="Times New Roman" w:hAnsi="Calibri" w:cs="Calibri"/>
                <w:color w:val="000000"/>
                <w:lang w:eastAsia="en-GB"/>
              </w:rPr>
              <w:t>0.47</w:t>
            </w:r>
            <w:r>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07E2CBCF" w14:textId="77777777" w:rsidR="00EE311F" w:rsidRPr="00AE05D1" w:rsidRDefault="00EE311F" w:rsidP="00515E57">
            <w:pPr>
              <w:spacing w:after="0" w:line="240" w:lineRule="auto"/>
              <w:jc w:val="center"/>
              <w:rPr>
                <w:rFonts w:ascii="Calibri" w:eastAsia="Times New Roman" w:hAnsi="Calibri" w:cs="Calibri"/>
                <w:color w:val="000000"/>
                <w:lang w:eastAsia="en-GB"/>
              </w:rPr>
            </w:pPr>
            <w:r w:rsidRPr="00AE05D1">
              <w:rPr>
                <w:rFonts w:ascii="Calibri" w:eastAsia="Times New Roman" w:hAnsi="Calibri" w:cs="Calibri"/>
                <w:color w:val="000000"/>
                <w:lang w:eastAsia="en-GB"/>
              </w:rPr>
              <w:t>0.50</w:t>
            </w:r>
            <w:r>
              <w:rPr>
                <w:rFonts w:ascii="Calibri" w:eastAsia="Times New Roman" w:hAnsi="Calibri" w:cs="Calibri"/>
                <w:color w:val="000000"/>
                <w:lang w:eastAsia="en-GB"/>
              </w:rPr>
              <w:t>*</w:t>
            </w:r>
          </w:p>
        </w:tc>
        <w:tc>
          <w:tcPr>
            <w:tcW w:w="1060" w:type="dxa"/>
            <w:tcBorders>
              <w:top w:val="nil"/>
              <w:left w:val="nil"/>
              <w:bottom w:val="nil"/>
              <w:right w:val="nil"/>
            </w:tcBorders>
            <w:shd w:val="clear" w:color="auto" w:fill="auto"/>
            <w:noWrap/>
            <w:vAlign w:val="bottom"/>
            <w:hideMark/>
          </w:tcPr>
          <w:p w14:paraId="22B18550" w14:textId="77777777" w:rsidR="00EE311F" w:rsidRPr="00AE05D1" w:rsidRDefault="00EE311F" w:rsidP="00515E57">
            <w:pPr>
              <w:spacing w:after="0" w:line="240" w:lineRule="auto"/>
              <w:jc w:val="center"/>
              <w:rPr>
                <w:rFonts w:ascii="Calibri" w:eastAsia="Times New Roman" w:hAnsi="Calibri" w:cs="Calibri"/>
                <w:color w:val="000000"/>
                <w:lang w:eastAsia="en-GB"/>
              </w:rPr>
            </w:pPr>
            <w:r w:rsidRPr="00AE05D1">
              <w:rPr>
                <w:rFonts w:ascii="Calibri" w:eastAsia="Times New Roman" w:hAnsi="Calibri" w:cs="Calibri"/>
                <w:color w:val="000000"/>
                <w:lang w:eastAsia="en-GB"/>
              </w:rPr>
              <w:t>0.49</w:t>
            </w:r>
            <w:r>
              <w:rPr>
                <w:rFonts w:ascii="Calibri" w:eastAsia="Times New Roman" w:hAnsi="Calibri" w:cs="Calibri"/>
                <w:color w:val="000000"/>
                <w:lang w:eastAsia="en-GB"/>
              </w:rPr>
              <w:t>*</w:t>
            </w:r>
          </w:p>
        </w:tc>
        <w:tc>
          <w:tcPr>
            <w:tcW w:w="1080" w:type="dxa"/>
            <w:tcBorders>
              <w:top w:val="nil"/>
              <w:left w:val="nil"/>
              <w:bottom w:val="nil"/>
              <w:right w:val="nil"/>
            </w:tcBorders>
            <w:shd w:val="clear" w:color="auto" w:fill="auto"/>
            <w:noWrap/>
            <w:vAlign w:val="bottom"/>
            <w:hideMark/>
          </w:tcPr>
          <w:p w14:paraId="0F5421FC" w14:textId="77777777" w:rsidR="00EE311F" w:rsidRPr="00AE05D1" w:rsidRDefault="00EE311F" w:rsidP="00515E57">
            <w:pPr>
              <w:spacing w:after="0" w:line="240" w:lineRule="auto"/>
              <w:jc w:val="center"/>
              <w:rPr>
                <w:rFonts w:ascii="Calibri" w:eastAsia="Times New Roman" w:hAnsi="Calibri" w:cs="Calibri"/>
                <w:color w:val="000000"/>
                <w:lang w:eastAsia="en-GB"/>
              </w:rPr>
            </w:pPr>
            <w:r w:rsidRPr="00AE05D1">
              <w:rPr>
                <w:rFonts w:ascii="Calibri" w:eastAsia="Times New Roman" w:hAnsi="Calibri" w:cs="Calibri"/>
                <w:color w:val="000000"/>
                <w:lang w:eastAsia="en-GB"/>
              </w:rPr>
              <w:t>0.50</w:t>
            </w:r>
            <w:r>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29A884CF" w14:textId="77777777" w:rsidR="00EE311F" w:rsidRPr="00AE05D1" w:rsidRDefault="00EE311F" w:rsidP="00515E57">
            <w:pPr>
              <w:spacing w:after="0" w:line="240" w:lineRule="auto"/>
              <w:jc w:val="center"/>
              <w:rPr>
                <w:rFonts w:ascii="Calibri" w:eastAsia="Times New Roman" w:hAnsi="Calibri" w:cs="Calibri"/>
                <w:color w:val="000000"/>
                <w:lang w:eastAsia="en-GB"/>
              </w:rPr>
            </w:pPr>
            <w:r w:rsidRPr="00AE05D1">
              <w:rPr>
                <w:rFonts w:ascii="Calibri" w:eastAsia="Times New Roman" w:hAnsi="Calibri" w:cs="Calibri"/>
                <w:color w:val="000000"/>
                <w:lang w:eastAsia="en-GB"/>
              </w:rPr>
              <w:t>0.53</w:t>
            </w:r>
            <w:r>
              <w:rPr>
                <w:rFonts w:ascii="Calibri" w:eastAsia="Times New Roman" w:hAnsi="Calibri" w:cs="Calibri"/>
                <w:color w:val="000000"/>
                <w:lang w:eastAsia="en-GB"/>
              </w:rPr>
              <w:t>*</w:t>
            </w:r>
          </w:p>
        </w:tc>
      </w:tr>
      <w:tr w:rsidR="00EE311F" w:rsidRPr="00AE05D1" w14:paraId="243FDEEA" w14:textId="77777777" w:rsidTr="00515E57">
        <w:trPr>
          <w:trHeight w:val="290"/>
          <w:jc w:val="center"/>
        </w:trPr>
        <w:tc>
          <w:tcPr>
            <w:tcW w:w="1840" w:type="dxa"/>
            <w:tcBorders>
              <w:top w:val="nil"/>
              <w:left w:val="nil"/>
              <w:bottom w:val="nil"/>
              <w:right w:val="nil"/>
            </w:tcBorders>
            <w:shd w:val="clear" w:color="auto" w:fill="auto"/>
            <w:noWrap/>
            <w:vAlign w:val="bottom"/>
            <w:hideMark/>
          </w:tcPr>
          <w:p w14:paraId="14D6BB19" w14:textId="77777777" w:rsidR="00EE311F" w:rsidRPr="00AE05D1" w:rsidRDefault="00EE311F" w:rsidP="00515E57">
            <w:pPr>
              <w:spacing w:after="0" w:line="240" w:lineRule="auto"/>
              <w:rPr>
                <w:rFonts w:ascii="Calibri" w:eastAsia="Times New Roman" w:hAnsi="Calibri" w:cs="Calibri"/>
                <w:color w:val="000000"/>
                <w:lang w:eastAsia="en-GB"/>
              </w:rPr>
            </w:pPr>
            <w:r w:rsidRPr="00AE05D1">
              <w:rPr>
                <w:rFonts w:ascii="Calibri" w:eastAsia="Times New Roman" w:hAnsi="Calibri" w:cs="Calibri"/>
                <w:color w:val="000000"/>
                <w:lang w:eastAsia="en-GB"/>
              </w:rPr>
              <w:t>Q3 SES</w:t>
            </w:r>
          </w:p>
        </w:tc>
        <w:tc>
          <w:tcPr>
            <w:tcW w:w="960" w:type="dxa"/>
            <w:tcBorders>
              <w:top w:val="nil"/>
              <w:left w:val="nil"/>
              <w:bottom w:val="nil"/>
              <w:right w:val="nil"/>
            </w:tcBorders>
            <w:shd w:val="clear" w:color="auto" w:fill="auto"/>
            <w:noWrap/>
            <w:vAlign w:val="bottom"/>
            <w:hideMark/>
          </w:tcPr>
          <w:p w14:paraId="0CD45D24" w14:textId="77777777" w:rsidR="00EE311F" w:rsidRPr="00AE05D1" w:rsidRDefault="00EE311F" w:rsidP="00515E57">
            <w:pPr>
              <w:spacing w:after="0" w:line="240" w:lineRule="auto"/>
              <w:jc w:val="center"/>
              <w:rPr>
                <w:rFonts w:ascii="Calibri" w:eastAsia="Times New Roman" w:hAnsi="Calibri" w:cs="Calibri"/>
                <w:color w:val="000000"/>
                <w:lang w:eastAsia="en-GB"/>
              </w:rPr>
            </w:pPr>
            <w:r w:rsidRPr="00AE05D1">
              <w:rPr>
                <w:rFonts w:ascii="Calibri" w:eastAsia="Times New Roman" w:hAnsi="Calibri" w:cs="Calibri"/>
                <w:color w:val="000000"/>
                <w:lang w:eastAsia="en-GB"/>
              </w:rPr>
              <w:t>0.29</w:t>
            </w:r>
            <w:r>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4A05E440" w14:textId="77777777" w:rsidR="00EE311F" w:rsidRPr="00AE05D1" w:rsidRDefault="00EE311F" w:rsidP="00515E57">
            <w:pPr>
              <w:spacing w:after="0" w:line="240" w:lineRule="auto"/>
              <w:jc w:val="center"/>
              <w:rPr>
                <w:rFonts w:ascii="Calibri" w:eastAsia="Times New Roman" w:hAnsi="Calibri" w:cs="Calibri"/>
                <w:color w:val="000000"/>
                <w:lang w:eastAsia="en-GB"/>
              </w:rPr>
            </w:pPr>
            <w:r w:rsidRPr="00AE05D1">
              <w:rPr>
                <w:rFonts w:ascii="Calibri" w:eastAsia="Times New Roman" w:hAnsi="Calibri" w:cs="Calibri"/>
                <w:color w:val="000000"/>
                <w:lang w:eastAsia="en-GB"/>
              </w:rPr>
              <w:t>0.30</w:t>
            </w:r>
            <w:r>
              <w:rPr>
                <w:rFonts w:ascii="Calibri" w:eastAsia="Times New Roman" w:hAnsi="Calibri" w:cs="Calibri"/>
                <w:color w:val="000000"/>
                <w:lang w:eastAsia="en-GB"/>
              </w:rPr>
              <w:t>*</w:t>
            </w:r>
          </w:p>
        </w:tc>
        <w:tc>
          <w:tcPr>
            <w:tcW w:w="1060" w:type="dxa"/>
            <w:tcBorders>
              <w:top w:val="nil"/>
              <w:left w:val="nil"/>
              <w:bottom w:val="nil"/>
              <w:right w:val="nil"/>
            </w:tcBorders>
            <w:shd w:val="clear" w:color="auto" w:fill="auto"/>
            <w:noWrap/>
            <w:vAlign w:val="bottom"/>
            <w:hideMark/>
          </w:tcPr>
          <w:p w14:paraId="5F12519A" w14:textId="77777777" w:rsidR="00EE311F" w:rsidRPr="00AE05D1" w:rsidRDefault="00EE311F" w:rsidP="00515E57">
            <w:pPr>
              <w:spacing w:after="0" w:line="240" w:lineRule="auto"/>
              <w:jc w:val="center"/>
              <w:rPr>
                <w:rFonts w:ascii="Calibri" w:eastAsia="Times New Roman" w:hAnsi="Calibri" w:cs="Calibri"/>
                <w:color w:val="000000"/>
                <w:lang w:eastAsia="en-GB"/>
              </w:rPr>
            </w:pPr>
            <w:r w:rsidRPr="00AE05D1">
              <w:rPr>
                <w:rFonts w:ascii="Calibri" w:eastAsia="Times New Roman" w:hAnsi="Calibri" w:cs="Calibri"/>
                <w:color w:val="000000"/>
                <w:lang w:eastAsia="en-GB"/>
              </w:rPr>
              <w:t>0.29</w:t>
            </w:r>
            <w:r>
              <w:rPr>
                <w:rFonts w:ascii="Calibri" w:eastAsia="Times New Roman" w:hAnsi="Calibri" w:cs="Calibri"/>
                <w:color w:val="000000"/>
                <w:lang w:eastAsia="en-GB"/>
              </w:rPr>
              <w:t>*</w:t>
            </w:r>
          </w:p>
        </w:tc>
        <w:tc>
          <w:tcPr>
            <w:tcW w:w="1080" w:type="dxa"/>
            <w:tcBorders>
              <w:top w:val="nil"/>
              <w:left w:val="nil"/>
              <w:bottom w:val="nil"/>
              <w:right w:val="nil"/>
            </w:tcBorders>
            <w:shd w:val="clear" w:color="auto" w:fill="auto"/>
            <w:noWrap/>
            <w:vAlign w:val="bottom"/>
            <w:hideMark/>
          </w:tcPr>
          <w:p w14:paraId="5CD15F6E" w14:textId="77777777" w:rsidR="00EE311F" w:rsidRPr="00AE05D1" w:rsidRDefault="00EE311F" w:rsidP="00515E57">
            <w:pPr>
              <w:spacing w:after="0" w:line="240" w:lineRule="auto"/>
              <w:jc w:val="center"/>
              <w:rPr>
                <w:rFonts w:ascii="Calibri" w:eastAsia="Times New Roman" w:hAnsi="Calibri" w:cs="Calibri"/>
                <w:color w:val="000000"/>
                <w:lang w:eastAsia="en-GB"/>
              </w:rPr>
            </w:pPr>
            <w:r w:rsidRPr="00AE05D1">
              <w:rPr>
                <w:rFonts w:ascii="Calibri" w:eastAsia="Times New Roman" w:hAnsi="Calibri" w:cs="Calibri"/>
                <w:color w:val="000000"/>
                <w:lang w:eastAsia="en-GB"/>
              </w:rPr>
              <w:t>0.31</w:t>
            </w:r>
            <w:r>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6746DAAC" w14:textId="77777777" w:rsidR="00EE311F" w:rsidRPr="00AE05D1" w:rsidRDefault="00EE311F" w:rsidP="00515E57">
            <w:pPr>
              <w:spacing w:after="0" w:line="240" w:lineRule="auto"/>
              <w:jc w:val="center"/>
              <w:rPr>
                <w:rFonts w:ascii="Calibri" w:eastAsia="Times New Roman" w:hAnsi="Calibri" w:cs="Calibri"/>
                <w:color w:val="000000"/>
                <w:lang w:eastAsia="en-GB"/>
              </w:rPr>
            </w:pPr>
            <w:r w:rsidRPr="00AE05D1">
              <w:rPr>
                <w:rFonts w:ascii="Calibri" w:eastAsia="Times New Roman" w:hAnsi="Calibri" w:cs="Calibri"/>
                <w:color w:val="000000"/>
                <w:lang w:eastAsia="en-GB"/>
              </w:rPr>
              <w:t>0.36</w:t>
            </w:r>
            <w:r>
              <w:rPr>
                <w:rFonts w:ascii="Calibri" w:eastAsia="Times New Roman" w:hAnsi="Calibri" w:cs="Calibri"/>
                <w:color w:val="000000"/>
                <w:lang w:eastAsia="en-GB"/>
              </w:rPr>
              <w:t>*</w:t>
            </w:r>
          </w:p>
        </w:tc>
      </w:tr>
      <w:tr w:rsidR="00EE311F" w:rsidRPr="00AE05D1" w14:paraId="3BE3460A" w14:textId="77777777" w:rsidTr="00515E57">
        <w:trPr>
          <w:trHeight w:val="290"/>
          <w:jc w:val="center"/>
        </w:trPr>
        <w:tc>
          <w:tcPr>
            <w:tcW w:w="1840" w:type="dxa"/>
            <w:tcBorders>
              <w:top w:val="nil"/>
              <w:left w:val="nil"/>
              <w:bottom w:val="nil"/>
              <w:right w:val="nil"/>
            </w:tcBorders>
            <w:shd w:val="clear" w:color="auto" w:fill="auto"/>
            <w:noWrap/>
            <w:vAlign w:val="bottom"/>
            <w:hideMark/>
          </w:tcPr>
          <w:p w14:paraId="41577619" w14:textId="77777777" w:rsidR="00EE311F" w:rsidRPr="00AE05D1" w:rsidRDefault="00EE311F" w:rsidP="00515E57">
            <w:pPr>
              <w:spacing w:after="0" w:line="240" w:lineRule="auto"/>
              <w:rPr>
                <w:rFonts w:ascii="Calibri" w:eastAsia="Times New Roman" w:hAnsi="Calibri" w:cs="Calibri"/>
                <w:color w:val="000000"/>
                <w:lang w:eastAsia="en-GB"/>
              </w:rPr>
            </w:pPr>
            <w:r w:rsidRPr="00AE05D1">
              <w:rPr>
                <w:rFonts w:ascii="Calibri" w:eastAsia="Times New Roman" w:hAnsi="Calibri" w:cs="Calibri"/>
                <w:color w:val="000000"/>
                <w:lang w:eastAsia="en-GB"/>
              </w:rPr>
              <w:t>Highest SES group</w:t>
            </w:r>
          </w:p>
        </w:tc>
        <w:tc>
          <w:tcPr>
            <w:tcW w:w="960" w:type="dxa"/>
            <w:tcBorders>
              <w:top w:val="nil"/>
              <w:left w:val="nil"/>
              <w:bottom w:val="nil"/>
              <w:right w:val="nil"/>
            </w:tcBorders>
            <w:shd w:val="clear" w:color="auto" w:fill="auto"/>
            <w:noWrap/>
            <w:vAlign w:val="bottom"/>
            <w:hideMark/>
          </w:tcPr>
          <w:p w14:paraId="535A74AC" w14:textId="77777777" w:rsidR="00EE311F" w:rsidRPr="00AE05D1" w:rsidRDefault="00EE311F" w:rsidP="00515E57">
            <w:pPr>
              <w:spacing w:after="0" w:line="240" w:lineRule="auto"/>
              <w:jc w:val="center"/>
              <w:rPr>
                <w:rFonts w:ascii="Calibri" w:eastAsia="Times New Roman" w:hAnsi="Calibri" w:cs="Calibri"/>
                <w:color w:val="000000"/>
                <w:lang w:eastAsia="en-GB"/>
              </w:rPr>
            </w:pPr>
            <w:r w:rsidRPr="00AE05D1">
              <w:rPr>
                <w:rFonts w:ascii="Calibri" w:eastAsia="Times New Roman" w:hAnsi="Calibri" w:cs="Calibri"/>
                <w:color w:val="000000"/>
                <w:lang w:eastAsia="en-GB"/>
              </w:rPr>
              <w:t>0.16</w:t>
            </w:r>
            <w:r>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503AD149" w14:textId="77777777" w:rsidR="00EE311F" w:rsidRPr="00AE05D1" w:rsidRDefault="00EE311F" w:rsidP="00515E57">
            <w:pPr>
              <w:spacing w:after="0" w:line="240" w:lineRule="auto"/>
              <w:jc w:val="center"/>
              <w:rPr>
                <w:rFonts w:ascii="Calibri" w:eastAsia="Times New Roman" w:hAnsi="Calibri" w:cs="Calibri"/>
                <w:color w:val="000000"/>
                <w:lang w:eastAsia="en-GB"/>
              </w:rPr>
            </w:pPr>
            <w:r w:rsidRPr="00AE05D1">
              <w:rPr>
                <w:rFonts w:ascii="Calibri" w:eastAsia="Times New Roman" w:hAnsi="Calibri" w:cs="Calibri"/>
                <w:color w:val="000000"/>
                <w:lang w:eastAsia="en-GB"/>
              </w:rPr>
              <w:t>0.17</w:t>
            </w:r>
            <w:r>
              <w:rPr>
                <w:rFonts w:ascii="Calibri" w:eastAsia="Times New Roman" w:hAnsi="Calibri" w:cs="Calibri"/>
                <w:color w:val="000000"/>
                <w:lang w:eastAsia="en-GB"/>
              </w:rPr>
              <w:t>*</w:t>
            </w:r>
          </w:p>
        </w:tc>
        <w:tc>
          <w:tcPr>
            <w:tcW w:w="1060" w:type="dxa"/>
            <w:tcBorders>
              <w:top w:val="nil"/>
              <w:left w:val="nil"/>
              <w:bottom w:val="nil"/>
              <w:right w:val="nil"/>
            </w:tcBorders>
            <w:shd w:val="clear" w:color="auto" w:fill="auto"/>
            <w:noWrap/>
            <w:vAlign w:val="bottom"/>
            <w:hideMark/>
          </w:tcPr>
          <w:p w14:paraId="7B7BBF73" w14:textId="77777777" w:rsidR="00EE311F" w:rsidRPr="00AE05D1" w:rsidRDefault="00EE311F" w:rsidP="00515E57">
            <w:pPr>
              <w:spacing w:after="0" w:line="240" w:lineRule="auto"/>
              <w:jc w:val="center"/>
              <w:rPr>
                <w:rFonts w:ascii="Calibri" w:eastAsia="Times New Roman" w:hAnsi="Calibri" w:cs="Calibri"/>
                <w:color w:val="000000"/>
                <w:lang w:eastAsia="en-GB"/>
              </w:rPr>
            </w:pPr>
            <w:r w:rsidRPr="00AE05D1">
              <w:rPr>
                <w:rFonts w:ascii="Calibri" w:eastAsia="Times New Roman" w:hAnsi="Calibri" w:cs="Calibri"/>
                <w:color w:val="000000"/>
                <w:lang w:eastAsia="en-GB"/>
              </w:rPr>
              <w:t>0.19</w:t>
            </w:r>
            <w:r>
              <w:rPr>
                <w:rFonts w:ascii="Calibri" w:eastAsia="Times New Roman" w:hAnsi="Calibri" w:cs="Calibri"/>
                <w:color w:val="000000"/>
                <w:lang w:eastAsia="en-GB"/>
              </w:rPr>
              <w:t>*</w:t>
            </w:r>
          </w:p>
        </w:tc>
        <w:tc>
          <w:tcPr>
            <w:tcW w:w="1080" w:type="dxa"/>
            <w:tcBorders>
              <w:top w:val="nil"/>
              <w:left w:val="nil"/>
              <w:bottom w:val="nil"/>
              <w:right w:val="nil"/>
            </w:tcBorders>
            <w:shd w:val="clear" w:color="auto" w:fill="auto"/>
            <w:noWrap/>
            <w:vAlign w:val="bottom"/>
            <w:hideMark/>
          </w:tcPr>
          <w:p w14:paraId="556C8820" w14:textId="77777777" w:rsidR="00EE311F" w:rsidRPr="00AE05D1" w:rsidRDefault="00EE311F" w:rsidP="00515E57">
            <w:pPr>
              <w:spacing w:after="0" w:line="240" w:lineRule="auto"/>
              <w:jc w:val="center"/>
              <w:rPr>
                <w:rFonts w:ascii="Calibri" w:eastAsia="Times New Roman" w:hAnsi="Calibri" w:cs="Calibri"/>
                <w:color w:val="000000"/>
                <w:lang w:eastAsia="en-GB"/>
              </w:rPr>
            </w:pPr>
            <w:r w:rsidRPr="00AE05D1">
              <w:rPr>
                <w:rFonts w:ascii="Calibri" w:eastAsia="Times New Roman" w:hAnsi="Calibri" w:cs="Calibri"/>
                <w:color w:val="000000"/>
                <w:lang w:eastAsia="en-GB"/>
              </w:rPr>
              <w:t>0.19</w:t>
            </w:r>
            <w:r>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3FAF1C73" w14:textId="77777777" w:rsidR="00EE311F" w:rsidRPr="00AE05D1" w:rsidRDefault="00EE311F" w:rsidP="00515E57">
            <w:pPr>
              <w:spacing w:after="0" w:line="240" w:lineRule="auto"/>
              <w:jc w:val="center"/>
              <w:rPr>
                <w:rFonts w:ascii="Calibri" w:eastAsia="Times New Roman" w:hAnsi="Calibri" w:cs="Calibri"/>
                <w:color w:val="000000"/>
                <w:lang w:eastAsia="en-GB"/>
              </w:rPr>
            </w:pPr>
            <w:r w:rsidRPr="00AE05D1">
              <w:rPr>
                <w:rFonts w:ascii="Calibri" w:eastAsia="Times New Roman" w:hAnsi="Calibri" w:cs="Calibri"/>
                <w:color w:val="000000"/>
                <w:lang w:eastAsia="en-GB"/>
              </w:rPr>
              <w:t>0.22</w:t>
            </w:r>
            <w:r>
              <w:rPr>
                <w:rFonts w:ascii="Calibri" w:eastAsia="Times New Roman" w:hAnsi="Calibri" w:cs="Calibri"/>
                <w:color w:val="000000"/>
                <w:lang w:eastAsia="en-GB"/>
              </w:rPr>
              <w:t>*</w:t>
            </w:r>
          </w:p>
        </w:tc>
      </w:tr>
      <w:tr w:rsidR="00EE311F" w:rsidRPr="00AE05D1" w14:paraId="4E712BD4" w14:textId="77777777" w:rsidTr="00515E57">
        <w:trPr>
          <w:trHeight w:val="290"/>
          <w:jc w:val="center"/>
        </w:trPr>
        <w:tc>
          <w:tcPr>
            <w:tcW w:w="1840" w:type="dxa"/>
            <w:tcBorders>
              <w:top w:val="single" w:sz="4" w:space="0" w:color="auto"/>
              <w:left w:val="nil"/>
              <w:bottom w:val="single" w:sz="4" w:space="0" w:color="auto"/>
              <w:right w:val="nil"/>
            </w:tcBorders>
            <w:shd w:val="clear" w:color="auto" w:fill="auto"/>
            <w:noWrap/>
            <w:vAlign w:val="bottom"/>
            <w:hideMark/>
          </w:tcPr>
          <w:p w14:paraId="1902B471" w14:textId="77777777" w:rsidR="00EE311F" w:rsidRPr="00AE05D1" w:rsidRDefault="00EE311F" w:rsidP="00515E57">
            <w:pPr>
              <w:spacing w:after="0" w:line="240" w:lineRule="auto"/>
              <w:rPr>
                <w:rFonts w:ascii="Calibri" w:eastAsia="Times New Roman" w:hAnsi="Calibri" w:cs="Calibri"/>
                <w:b/>
                <w:bCs/>
                <w:color w:val="000000"/>
                <w:lang w:eastAsia="en-GB"/>
              </w:rPr>
            </w:pPr>
            <w:r w:rsidRPr="00AE05D1">
              <w:rPr>
                <w:rFonts w:ascii="Calibri" w:eastAsia="Times New Roman" w:hAnsi="Calibri" w:cs="Calibri"/>
                <w:b/>
                <w:bCs/>
                <w:color w:val="000000"/>
                <w:lang w:eastAsia="en-GB"/>
              </w:rPr>
              <w:t>N</w:t>
            </w:r>
          </w:p>
        </w:tc>
        <w:tc>
          <w:tcPr>
            <w:tcW w:w="960" w:type="dxa"/>
            <w:tcBorders>
              <w:top w:val="single" w:sz="4" w:space="0" w:color="auto"/>
              <w:left w:val="nil"/>
              <w:bottom w:val="single" w:sz="4" w:space="0" w:color="auto"/>
              <w:right w:val="nil"/>
            </w:tcBorders>
            <w:shd w:val="clear" w:color="auto" w:fill="auto"/>
            <w:noWrap/>
            <w:vAlign w:val="bottom"/>
            <w:hideMark/>
          </w:tcPr>
          <w:p w14:paraId="17D11F7B" w14:textId="77777777" w:rsidR="00EE311F" w:rsidRPr="00AE05D1" w:rsidRDefault="00EE311F" w:rsidP="00515E57">
            <w:pPr>
              <w:spacing w:after="0" w:line="240" w:lineRule="auto"/>
              <w:jc w:val="center"/>
              <w:rPr>
                <w:rFonts w:ascii="Calibri" w:eastAsia="Times New Roman" w:hAnsi="Calibri" w:cs="Calibri"/>
                <w:b/>
                <w:bCs/>
                <w:color w:val="000000"/>
                <w:lang w:eastAsia="en-GB"/>
              </w:rPr>
            </w:pPr>
            <w:r w:rsidRPr="00AE05D1">
              <w:rPr>
                <w:rFonts w:ascii="Calibri" w:eastAsia="Times New Roman" w:hAnsi="Calibri" w:cs="Calibri"/>
                <w:b/>
                <w:bCs/>
                <w:color w:val="000000"/>
                <w:lang w:eastAsia="en-GB"/>
              </w:rPr>
              <w:t>241361</w:t>
            </w:r>
          </w:p>
        </w:tc>
        <w:tc>
          <w:tcPr>
            <w:tcW w:w="960" w:type="dxa"/>
            <w:tcBorders>
              <w:top w:val="single" w:sz="4" w:space="0" w:color="auto"/>
              <w:left w:val="nil"/>
              <w:bottom w:val="single" w:sz="4" w:space="0" w:color="auto"/>
              <w:right w:val="nil"/>
            </w:tcBorders>
            <w:shd w:val="clear" w:color="auto" w:fill="auto"/>
            <w:noWrap/>
            <w:vAlign w:val="bottom"/>
            <w:hideMark/>
          </w:tcPr>
          <w:p w14:paraId="4CB16FA6" w14:textId="77777777" w:rsidR="00EE311F" w:rsidRPr="00AE05D1" w:rsidRDefault="00EE311F" w:rsidP="00515E57">
            <w:pPr>
              <w:spacing w:after="0" w:line="240" w:lineRule="auto"/>
              <w:jc w:val="center"/>
              <w:rPr>
                <w:rFonts w:ascii="Calibri" w:eastAsia="Times New Roman" w:hAnsi="Calibri" w:cs="Calibri"/>
                <w:b/>
                <w:bCs/>
                <w:color w:val="000000"/>
                <w:lang w:eastAsia="en-GB"/>
              </w:rPr>
            </w:pPr>
            <w:r w:rsidRPr="00AE05D1">
              <w:rPr>
                <w:rFonts w:ascii="Calibri" w:eastAsia="Times New Roman" w:hAnsi="Calibri" w:cs="Calibri"/>
                <w:b/>
                <w:bCs/>
                <w:color w:val="000000"/>
                <w:lang w:eastAsia="en-GB"/>
              </w:rPr>
              <w:t>241361</w:t>
            </w:r>
          </w:p>
        </w:tc>
        <w:tc>
          <w:tcPr>
            <w:tcW w:w="1060" w:type="dxa"/>
            <w:tcBorders>
              <w:top w:val="single" w:sz="4" w:space="0" w:color="auto"/>
              <w:left w:val="nil"/>
              <w:bottom w:val="single" w:sz="4" w:space="0" w:color="auto"/>
              <w:right w:val="nil"/>
            </w:tcBorders>
            <w:shd w:val="clear" w:color="auto" w:fill="auto"/>
            <w:noWrap/>
            <w:vAlign w:val="bottom"/>
            <w:hideMark/>
          </w:tcPr>
          <w:p w14:paraId="4E151576" w14:textId="77777777" w:rsidR="00EE311F" w:rsidRPr="00AE05D1" w:rsidRDefault="00EE311F" w:rsidP="00515E57">
            <w:pPr>
              <w:spacing w:after="0" w:line="240" w:lineRule="auto"/>
              <w:jc w:val="center"/>
              <w:rPr>
                <w:rFonts w:ascii="Calibri" w:eastAsia="Times New Roman" w:hAnsi="Calibri" w:cs="Calibri"/>
                <w:b/>
                <w:bCs/>
                <w:color w:val="000000"/>
                <w:lang w:eastAsia="en-GB"/>
              </w:rPr>
            </w:pPr>
            <w:r w:rsidRPr="00AE05D1">
              <w:rPr>
                <w:rFonts w:ascii="Calibri" w:eastAsia="Times New Roman" w:hAnsi="Calibri" w:cs="Calibri"/>
                <w:b/>
                <w:bCs/>
                <w:color w:val="000000"/>
                <w:lang w:eastAsia="en-GB"/>
              </w:rPr>
              <w:t>241361</w:t>
            </w:r>
          </w:p>
        </w:tc>
        <w:tc>
          <w:tcPr>
            <w:tcW w:w="1080" w:type="dxa"/>
            <w:tcBorders>
              <w:top w:val="single" w:sz="4" w:space="0" w:color="auto"/>
              <w:left w:val="nil"/>
              <w:bottom w:val="single" w:sz="4" w:space="0" w:color="auto"/>
              <w:right w:val="nil"/>
            </w:tcBorders>
            <w:shd w:val="clear" w:color="auto" w:fill="auto"/>
            <w:noWrap/>
            <w:vAlign w:val="bottom"/>
            <w:hideMark/>
          </w:tcPr>
          <w:p w14:paraId="19E527C3" w14:textId="77777777" w:rsidR="00EE311F" w:rsidRPr="00AE05D1" w:rsidRDefault="00EE311F" w:rsidP="00515E57">
            <w:pPr>
              <w:spacing w:after="0" w:line="240" w:lineRule="auto"/>
              <w:jc w:val="center"/>
              <w:rPr>
                <w:rFonts w:ascii="Calibri" w:eastAsia="Times New Roman" w:hAnsi="Calibri" w:cs="Calibri"/>
                <w:b/>
                <w:bCs/>
                <w:color w:val="000000"/>
                <w:lang w:eastAsia="en-GB"/>
              </w:rPr>
            </w:pPr>
            <w:r w:rsidRPr="00AE05D1">
              <w:rPr>
                <w:rFonts w:ascii="Calibri" w:eastAsia="Times New Roman" w:hAnsi="Calibri" w:cs="Calibri"/>
                <w:b/>
                <w:bCs/>
                <w:color w:val="000000"/>
                <w:lang w:eastAsia="en-GB"/>
              </w:rPr>
              <w:t>241361</w:t>
            </w:r>
          </w:p>
        </w:tc>
        <w:tc>
          <w:tcPr>
            <w:tcW w:w="960" w:type="dxa"/>
            <w:tcBorders>
              <w:top w:val="single" w:sz="4" w:space="0" w:color="auto"/>
              <w:left w:val="nil"/>
              <w:bottom w:val="single" w:sz="4" w:space="0" w:color="auto"/>
              <w:right w:val="nil"/>
            </w:tcBorders>
            <w:shd w:val="clear" w:color="auto" w:fill="auto"/>
            <w:noWrap/>
            <w:vAlign w:val="bottom"/>
            <w:hideMark/>
          </w:tcPr>
          <w:p w14:paraId="073319CB" w14:textId="77777777" w:rsidR="00EE311F" w:rsidRPr="00AE05D1" w:rsidRDefault="00EE311F" w:rsidP="00515E57">
            <w:pPr>
              <w:spacing w:after="0" w:line="240" w:lineRule="auto"/>
              <w:jc w:val="center"/>
              <w:rPr>
                <w:rFonts w:ascii="Calibri" w:eastAsia="Times New Roman" w:hAnsi="Calibri" w:cs="Calibri"/>
                <w:b/>
                <w:bCs/>
                <w:color w:val="000000"/>
                <w:lang w:eastAsia="en-GB"/>
              </w:rPr>
            </w:pPr>
            <w:r w:rsidRPr="00AE05D1">
              <w:rPr>
                <w:rFonts w:ascii="Calibri" w:eastAsia="Times New Roman" w:hAnsi="Calibri" w:cs="Calibri"/>
                <w:b/>
                <w:bCs/>
                <w:color w:val="000000"/>
                <w:lang w:eastAsia="en-GB"/>
              </w:rPr>
              <w:t>241361</w:t>
            </w:r>
          </w:p>
        </w:tc>
      </w:tr>
    </w:tbl>
    <w:p w14:paraId="66AB4EDD" w14:textId="77777777" w:rsidR="00EE311F" w:rsidRPr="009A4467" w:rsidRDefault="00EE311F" w:rsidP="00EE311F">
      <w:pPr>
        <w:jc w:val="both"/>
        <w:rPr>
          <w:sz w:val="20"/>
          <w:szCs w:val="20"/>
        </w:rPr>
      </w:pPr>
      <w:r w:rsidRPr="009A4467">
        <w:rPr>
          <w:b/>
          <w:bCs/>
          <w:sz w:val="20"/>
          <w:szCs w:val="20"/>
        </w:rPr>
        <w:t>Notes:</w:t>
      </w:r>
      <w:r w:rsidRPr="009A4467">
        <w:rPr>
          <w:sz w:val="20"/>
          <w:szCs w:val="20"/>
        </w:rPr>
        <w:t xml:space="preserve"> Figures refer to odds ratio in comparison to children from disadvantaged socio-economic backgrounds as the reference group. Sample restricted to high achieving (young people in the top Key Stage 2 quartile) in Cohorts B and C. Models control for gender, ethnicity, Key Stage 1 and Key Stage 2 test scores, cohort and school absence rate in Year 7. * indicates odds ratio significantly different from one at the 5% level. See Appendix </w:t>
      </w:r>
      <w:r>
        <w:rPr>
          <w:sz w:val="20"/>
          <w:szCs w:val="20"/>
        </w:rPr>
        <w:t>B</w:t>
      </w:r>
      <w:r w:rsidRPr="009A4467">
        <w:rPr>
          <w:sz w:val="20"/>
          <w:szCs w:val="20"/>
        </w:rPr>
        <w:t xml:space="preserve"> for further detailed results.</w:t>
      </w:r>
    </w:p>
    <w:p w14:paraId="54FD4EDF" w14:textId="77777777" w:rsidR="00EE311F" w:rsidRPr="00082FCB" w:rsidRDefault="00EE311F" w:rsidP="00EE311F">
      <w:pPr>
        <w:pStyle w:val="ListParagraph"/>
        <w:numPr>
          <w:ilvl w:val="0"/>
          <w:numId w:val="7"/>
        </w:numPr>
        <w:jc w:val="center"/>
      </w:pPr>
      <w:r w:rsidRPr="004C6ADE">
        <w:t>Differences between high-achieving disadvantaged children of different genders and ethnicities.</w:t>
      </w:r>
    </w:p>
    <w:tbl>
      <w:tblPr>
        <w:tblW w:w="8570" w:type="dxa"/>
        <w:jc w:val="center"/>
        <w:tblLook w:val="04A0" w:firstRow="1" w:lastRow="0" w:firstColumn="1" w:lastColumn="0" w:noHBand="0" w:noVBand="1"/>
      </w:tblPr>
      <w:tblGrid>
        <w:gridCol w:w="3524"/>
        <w:gridCol w:w="1040"/>
        <w:gridCol w:w="886"/>
        <w:gridCol w:w="1040"/>
        <w:gridCol w:w="1040"/>
        <w:gridCol w:w="1040"/>
      </w:tblGrid>
      <w:tr w:rsidR="00EE311F" w:rsidRPr="00382EB1" w14:paraId="1C703744" w14:textId="77777777" w:rsidTr="00515E57">
        <w:trPr>
          <w:trHeight w:val="290"/>
          <w:jc w:val="center"/>
        </w:trPr>
        <w:tc>
          <w:tcPr>
            <w:tcW w:w="3524" w:type="dxa"/>
            <w:tcBorders>
              <w:top w:val="single" w:sz="4" w:space="0" w:color="auto"/>
              <w:left w:val="nil"/>
              <w:bottom w:val="single" w:sz="4" w:space="0" w:color="auto"/>
              <w:right w:val="nil"/>
            </w:tcBorders>
            <w:shd w:val="clear" w:color="000000" w:fill="B4C6E7"/>
            <w:noWrap/>
            <w:vAlign w:val="bottom"/>
            <w:hideMark/>
          </w:tcPr>
          <w:p w14:paraId="14C7B202" w14:textId="77777777" w:rsidR="00EE311F" w:rsidRPr="00382EB1" w:rsidRDefault="00EE311F" w:rsidP="00515E57">
            <w:pPr>
              <w:spacing w:after="0" w:line="240" w:lineRule="auto"/>
              <w:rPr>
                <w:rFonts w:ascii="Calibri" w:eastAsia="Times New Roman" w:hAnsi="Calibri" w:cs="Calibri"/>
                <w:color w:val="000000"/>
                <w:lang w:eastAsia="en-GB"/>
              </w:rPr>
            </w:pPr>
            <w:r w:rsidRPr="00382EB1">
              <w:rPr>
                <w:rFonts w:ascii="Calibri" w:eastAsia="Times New Roman" w:hAnsi="Calibri" w:cs="Calibri"/>
                <w:color w:val="000000"/>
                <w:lang w:eastAsia="en-GB"/>
              </w:rPr>
              <w:t> </w:t>
            </w:r>
          </w:p>
        </w:tc>
        <w:tc>
          <w:tcPr>
            <w:tcW w:w="1040" w:type="dxa"/>
            <w:tcBorders>
              <w:top w:val="single" w:sz="4" w:space="0" w:color="auto"/>
              <w:left w:val="nil"/>
              <w:bottom w:val="single" w:sz="4" w:space="0" w:color="auto"/>
              <w:right w:val="nil"/>
            </w:tcBorders>
            <w:shd w:val="clear" w:color="000000" w:fill="B4C6E7"/>
            <w:noWrap/>
            <w:vAlign w:val="bottom"/>
            <w:hideMark/>
          </w:tcPr>
          <w:p w14:paraId="4C04A6E8" w14:textId="77777777" w:rsidR="00EE311F" w:rsidRPr="00382EB1" w:rsidRDefault="00EE311F" w:rsidP="00515E57">
            <w:pPr>
              <w:spacing w:after="0" w:line="240" w:lineRule="auto"/>
              <w:jc w:val="center"/>
              <w:rPr>
                <w:rFonts w:ascii="Calibri" w:eastAsia="Times New Roman" w:hAnsi="Calibri" w:cs="Calibri"/>
                <w:b/>
                <w:bCs/>
                <w:color w:val="000000"/>
                <w:lang w:eastAsia="en-GB"/>
              </w:rPr>
            </w:pPr>
            <w:r w:rsidRPr="00382EB1">
              <w:rPr>
                <w:rFonts w:ascii="Calibri" w:eastAsia="Times New Roman" w:hAnsi="Calibri" w:cs="Calibri"/>
                <w:b/>
                <w:bCs/>
                <w:color w:val="000000"/>
                <w:lang w:eastAsia="en-GB"/>
              </w:rPr>
              <w:t>Year 7</w:t>
            </w:r>
          </w:p>
        </w:tc>
        <w:tc>
          <w:tcPr>
            <w:tcW w:w="886" w:type="dxa"/>
            <w:tcBorders>
              <w:top w:val="single" w:sz="4" w:space="0" w:color="auto"/>
              <w:left w:val="nil"/>
              <w:bottom w:val="single" w:sz="4" w:space="0" w:color="auto"/>
              <w:right w:val="nil"/>
            </w:tcBorders>
            <w:shd w:val="clear" w:color="000000" w:fill="B4C6E7"/>
            <w:noWrap/>
            <w:vAlign w:val="bottom"/>
            <w:hideMark/>
          </w:tcPr>
          <w:p w14:paraId="6983E440" w14:textId="77777777" w:rsidR="00EE311F" w:rsidRPr="00382EB1" w:rsidRDefault="00EE311F" w:rsidP="00515E57">
            <w:pPr>
              <w:spacing w:after="0" w:line="240" w:lineRule="auto"/>
              <w:jc w:val="center"/>
              <w:rPr>
                <w:rFonts w:ascii="Calibri" w:eastAsia="Times New Roman" w:hAnsi="Calibri" w:cs="Calibri"/>
                <w:b/>
                <w:bCs/>
                <w:color w:val="000000"/>
                <w:lang w:eastAsia="en-GB"/>
              </w:rPr>
            </w:pPr>
            <w:r w:rsidRPr="00382EB1">
              <w:rPr>
                <w:rFonts w:ascii="Calibri" w:eastAsia="Times New Roman" w:hAnsi="Calibri" w:cs="Calibri"/>
                <w:b/>
                <w:bCs/>
                <w:color w:val="000000"/>
                <w:lang w:eastAsia="en-GB"/>
              </w:rPr>
              <w:t>Year 8</w:t>
            </w:r>
          </w:p>
        </w:tc>
        <w:tc>
          <w:tcPr>
            <w:tcW w:w="1040" w:type="dxa"/>
            <w:tcBorders>
              <w:top w:val="single" w:sz="4" w:space="0" w:color="auto"/>
              <w:left w:val="nil"/>
              <w:bottom w:val="single" w:sz="4" w:space="0" w:color="auto"/>
              <w:right w:val="nil"/>
            </w:tcBorders>
            <w:shd w:val="clear" w:color="000000" w:fill="B4C6E7"/>
            <w:noWrap/>
            <w:vAlign w:val="bottom"/>
            <w:hideMark/>
          </w:tcPr>
          <w:p w14:paraId="03D86084" w14:textId="77777777" w:rsidR="00EE311F" w:rsidRPr="00382EB1" w:rsidRDefault="00EE311F" w:rsidP="00515E57">
            <w:pPr>
              <w:spacing w:after="0" w:line="240" w:lineRule="auto"/>
              <w:jc w:val="center"/>
              <w:rPr>
                <w:rFonts w:ascii="Calibri" w:eastAsia="Times New Roman" w:hAnsi="Calibri" w:cs="Calibri"/>
                <w:b/>
                <w:bCs/>
                <w:color w:val="000000"/>
                <w:lang w:eastAsia="en-GB"/>
              </w:rPr>
            </w:pPr>
            <w:r w:rsidRPr="00382EB1">
              <w:rPr>
                <w:rFonts w:ascii="Calibri" w:eastAsia="Times New Roman" w:hAnsi="Calibri" w:cs="Calibri"/>
                <w:b/>
                <w:bCs/>
                <w:color w:val="000000"/>
                <w:lang w:eastAsia="en-GB"/>
              </w:rPr>
              <w:t>Year 9</w:t>
            </w:r>
          </w:p>
        </w:tc>
        <w:tc>
          <w:tcPr>
            <w:tcW w:w="1040" w:type="dxa"/>
            <w:tcBorders>
              <w:top w:val="single" w:sz="4" w:space="0" w:color="auto"/>
              <w:left w:val="nil"/>
              <w:bottom w:val="single" w:sz="4" w:space="0" w:color="auto"/>
              <w:right w:val="nil"/>
            </w:tcBorders>
            <w:shd w:val="clear" w:color="000000" w:fill="B4C6E7"/>
            <w:noWrap/>
            <w:vAlign w:val="bottom"/>
            <w:hideMark/>
          </w:tcPr>
          <w:p w14:paraId="1EFB65B2" w14:textId="77777777" w:rsidR="00EE311F" w:rsidRPr="00382EB1" w:rsidRDefault="00EE311F" w:rsidP="00515E57">
            <w:pPr>
              <w:spacing w:after="0" w:line="240" w:lineRule="auto"/>
              <w:jc w:val="center"/>
              <w:rPr>
                <w:rFonts w:ascii="Calibri" w:eastAsia="Times New Roman" w:hAnsi="Calibri" w:cs="Calibri"/>
                <w:b/>
                <w:bCs/>
                <w:color w:val="000000"/>
                <w:lang w:eastAsia="en-GB"/>
              </w:rPr>
            </w:pPr>
            <w:r w:rsidRPr="00382EB1">
              <w:rPr>
                <w:rFonts w:ascii="Calibri" w:eastAsia="Times New Roman" w:hAnsi="Calibri" w:cs="Calibri"/>
                <w:b/>
                <w:bCs/>
                <w:color w:val="000000"/>
                <w:lang w:eastAsia="en-GB"/>
              </w:rPr>
              <w:t>Year 10</w:t>
            </w:r>
          </w:p>
        </w:tc>
        <w:tc>
          <w:tcPr>
            <w:tcW w:w="1040" w:type="dxa"/>
            <w:tcBorders>
              <w:top w:val="single" w:sz="4" w:space="0" w:color="auto"/>
              <w:left w:val="nil"/>
              <w:bottom w:val="single" w:sz="4" w:space="0" w:color="auto"/>
              <w:right w:val="nil"/>
            </w:tcBorders>
            <w:shd w:val="clear" w:color="000000" w:fill="B4C6E7"/>
            <w:noWrap/>
            <w:vAlign w:val="bottom"/>
            <w:hideMark/>
          </w:tcPr>
          <w:p w14:paraId="2D792AEB" w14:textId="77777777" w:rsidR="00EE311F" w:rsidRPr="00382EB1" w:rsidRDefault="00EE311F" w:rsidP="00515E57">
            <w:pPr>
              <w:spacing w:after="0" w:line="240" w:lineRule="auto"/>
              <w:jc w:val="center"/>
              <w:rPr>
                <w:rFonts w:ascii="Calibri" w:eastAsia="Times New Roman" w:hAnsi="Calibri" w:cs="Calibri"/>
                <w:b/>
                <w:bCs/>
                <w:color w:val="000000"/>
                <w:lang w:eastAsia="en-GB"/>
              </w:rPr>
            </w:pPr>
            <w:r w:rsidRPr="00382EB1">
              <w:rPr>
                <w:rFonts w:ascii="Calibri" w:eastAsia="Times New Roman" w:hAnsi="Calibri" w:cs="Calibri"/>
                <w:b/>
                <w:bCs/>
                <w:color w:val="000000"/>
                <w:lang w:eastAsia="en-GB"/>
              </w:rPr>
              <w:t>Year 11</w:t>
            </w:r>
          </w:p>
        </w:tc>
      </w:tr>
      <w:tr w:rsidR="00EE311F" w:rsidRPr="00382EB1" w14:paraId="188D6A3F" w14:textId="77777777" w:rsidTr="00515E57">
        <w:trPr>
          <w:trHeight w:val="290"/>
          <w:jc w:val="center"/>
        </w:trPr>
        <w:tc>
          <w:tcPr>
            <w:tcW w:w="3524" w:type="dxa"/>
            <w:tcBorders>
              <w:top w:val="nil"/>
              <w:left w:val="nil"/>
              <w:bottom w:val="nil"/>
              <w:right w:val="nil"/>
            </w:tcBorders>
            <w:shd w:val="clear" w:color="auto" w:fill="auto"/>
            <w:noWrap/>
            <w:vAlign w:val="bottom"/>
            <w:hideMark/>
          </w:tcPr>
          <w:p w14:paraId="1804E088" w14:textId="77777777" w:rsidR="00EE311F" w:rsidRPr="00382EB1" w:rsidRDefault="00EE311F" w:rsidP="00515E57">
            <w:pPr>
              <w:spacing w:after="0" w:line="240" w:lineRule="auto"/>
              <w:rPr>
                <w:rFonts w:ascii="Calibri" w:eastAsia="Times New Roman" w:hAnsi="Calibri" w:cs="Calibri"/>
                <w:color w:val="000000"/>
                <w:lang w:eastAsia="en-GB"/>
              </w:rPr>
            </w:pPr>
            <w:r w:rsidRPr="00382EB1">
              <w:rPr>
                <w:rFonts w:ascii="Calibri" w:eastAsia="Times New Roman" w:hAnsi="Calibri" w:cs="Calibri"/>
                <w:color w:val="000000"/>
                <w:lang w:eastAsia="en-GB"/>
              </w:rPr>
              <w:t>White girl</w:t>
            </w:r>
          </w:p>
        </w:tc>
        <w:tc>
          <w:tcPr>
            <w:tcW w:w="1040" w:type="dxa"/>
            <w:tcBorders>
              <w:top w:val="nil"/>
              <w:left w:val="nil"/>
              <w:bottom w:val="nil"/>
              <w:right w:val="nil"/>
            </w:tcBorders>
            <w:shd w:val="clear" w:color="auto" w:fill="auto"/>
            <w:noWrap/>
            <w:vAlign w:val="bottom"/>
            <w:hideMark/>
          </w:tcPr>
          <w:p w14:paraId="0E26770F"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0.35</w:t>
            </w:r>
            <w:r>
              <w:rPr>
                <w:rFonts w:ascii="Calibri" w:eastAsia="Times New Roman" w:hAnsi="Calibri" w:cs="Calibri"/>
                <w:color w:val="000000"/>
                <w:lang w:eastAsia="en-GB"/>
              </w:rPr>
              <w:t>*</w:t>
            </w:r>
          </w:p>
        </w:tc>
        <w:tc>
          <w:tcPr>
            <w:tcW w:w="886" w:type="dxa"/>
            <w:tcBorders>
              <w:top w:val="nil"/>
              <w:left w:val="nil"/>
              <w:bottom w:val="nil"/>
              <w:right w:val="nil"/>
            </w:tcBorders>
            <w:shd w:val="clear" w:color="auto" w:fill="auto"/>
            <w:noWrap/>
            <w:vAlign w:val="bottom"/>
            <w:hideMark/>
          </w:tcPr>
          <w:p w14:paraId="74B23005"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0.44</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72E92B25"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0.66</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76292A0B"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0.58</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243ECEBA"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0.50</w:t>
            </w:r>
            <w:r>
              <w:rPr>
                <w:rFonts w:ascii="Calibri" w:eastAsia="Times New Roman" w:hAnsi="Calibri" w:cs="Calibri"/>
                <w:color w:val="000000"/>
                <w:lang w:eastAsia="en-GB"/>
              </w:rPr>
              <w:t>*</w:t>
            </w:r>
          </w:p>
        </w:tc>
      </w:tr>
      <w:tr w:rsidR="00EE311F" w:rsidRPr="00382EB1" w14:paraId="23EF4E29" w14:textId="77777777" w:rsidTr="00515E57">
        <w:trPr>
          <w:trHeight w:val="290"/>
          <w:jc w:val="center"/>
        </w:trPr>
        <w:tc>
          <w:tcPr>
            <w:tcW w:w="3524" w:type="dxa"/>
            <w:tcBorders>
              <w:top w:val="nil"/>
              <w:left w:val="nil"/>
              <w:bottom w:val="nil"/>
              <w:right w:val="nil"/>
            </w:tcBorders>
            <w:shd w:val="clear" w:color="auto" w:fill="auto"/>
            <w:noWrap/>
            <w:vAlign w:val="bottom"/>
            <w:hideMark/>
          </w:tcPr>
          <w:p w14:paraId="0431C0F7" w14:textId="77777777" w:rsidR="00EE311F" w:rsidRPr="00382EB1" w:rsidRDefault="00EE311F" w:rsidP="00515E57">
            <w:pPr>
              <w:spacing w:after="0" w:line="240" w:lineRule="auto"/>
              <w:rPr>
                <w:rFonts w:ascii="Calibri" w:eastAsia="Times New Roman" w:hAnsi="Calibri" w:cs="Calibri"/>
                <w:color w:val="000000"/>
                <w:lang w:eastAsia="en-GB"/>
              </w:rPr>
            </w:pPr>
            <w:r w:rsidRPr="00382EB1">
              <w:rPr>
                <w:rFonts w:ascii="Calibri" w:eastAsia="Times New Roman" w:hAnsi="Calibri" w:cs="Calibri"/>
                <w:color w:val="000000"/>
                <w:lang w:eastAsia="en-GB"/>
              </w:rPr>
              <w:t>Asian boy</w:t>
            </w:r>
          </w:p>
        </w:tc>
        <w:tc>
          <w:tcPr>
            <w:tcW w:w="1040" w:type="dxa"/>
            <w:tcBorders>
              <w:top w:val="nil"/>
              <w:left w:val="nil"/>
              <w:bottom w:val="nil"/>
              <w:right w:val="nil"/>
            </w:tcBorders>
            <w:shd w:val="clear" w:color="auto" w:fill="auto"/>
            <w:noWrap/>
            <w:vAlign w:val="bottom"/>
            <w:hideMark/>
          </w:tcPr>
          <w:p w14:paraId="03C4818D"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0.63</w:t>
            </w:r>
            <w:r>
              <w:rPr>
                <w:rFonts w:ascii="Calibri" w:eastAsia="Times New Roman" w:hAnsi="Calibri" w:cs="Calibri"/>
                <w:color w:val="000000"/>
                <w:lang w:eastAsia="en-GB"/>
              </w:rPr>
              <w:t>*</w:t>
            </w:r>
          </w:p>
        </w:tc>
        <w:tc>
          <w:tcPr>
            <w:tcW w:w="886" w:type="dxa"/>
            <w:tcBorders>
              <w:top w:val="nil"/>
              <w:left w:val="nil"/>
              <w:bottom w:val="nil"/>
              <w:right w:val="nil"/>
            </w:tcBorders>
            <w:shd w:val="clear" w:color="auto" w:fill="auto"/>
            <w:noWrap/>
            <w:vAlign w:val="bottom"/>
            <w:hideMark/>
          </w:tcPr>
          <w:p w14:paraId="24AAAC15"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0.58</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42985B66"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0.83</w:t>
            </w:r>
          </w:p>
        </w:tc>
        <w:tc>
          <w:tcPr>
            <w:tcW w:w="1040" w:type="dxa"/>
            <w:tcBorders>
              <w:top w:val="nil"/>
              <w:left w:val="nil"/>
              <w:bottom w:val="nil"/>
              <w:right w:val="nil"/>
            </w:tcBorders>
            <w:shd w:val="clear" w:color="auto" w:fill="auto"/>
            <w:noWrap/>
            <w:vAlign w:val="bottom"/>
            <w:hideMark/>
          </w:tcPr>
          <w:p w14:paraId="69F7339D"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0.88</w:t>
            </w:r>
          </w:p>
        </w:tc>
        <w:tc>
          <w:tcPr>
            <w:tcW w:w="1040" w:type="dxa"/>
            <w:tcBorders>
              <w:top w:val="nil"/>
              <w:left w:val="nil"/>
              <w:bottom w:val="nil"/>
              <w:right w:val="nil"/>
            </w:tcBorders>
            <w:shd w:val="clear" w:color="auto" w:fill="auto"/>
            <w:noWrap/>
            <w:vAlign w:val="bottom"/>
            <w:hideMark/>
          </w:tcPr>
          <w:p w14:paraId="4B840CE3"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0.72</w:t>
            </w:r>
            <w:r>
              <w:rPr>
                <w:rFonts w:ascii="Calibri" w:eastAsia="Times New Roman" w:hAnsi="Calibri" w:cs="Calibri"/>
                <w:color w:val="000000"/>
                <w:lang w:eastAsia="en-GB"/>
              </w:rPr>
              <w:t>*</w:t>
            </w:r>
          </w:p>
        </w:tc>
      </w:tr>
      <w:tr w:rsidR="00EE311F" w:rsidRPr="00382EB1" w14:paraId="77C8086C" w14:textId="77777777" w:rsidTr="00515E57">
        <w:trPr>
          <w:trHeight w:val="290"/>
          <w:jc w:val="center"/>
        </w:trPr>
        <w:tc>
          <w:tcPr>
            <w:tcW w:w="3524" w:type="dxa"/>
            <w:tcBorders>
              <w:top w:val="nil"/>
              <w:left w:val="nil"/>
              <w:bottom w:val="nil"/>
              <w:right w:val="nil"/>
            </w:tcBorders>
            <w:shd w:val="clear" w:color="auto" w:fill="auto"/>
            <w:noWrap/>
            <w:vAlign w:val="bottom"/>
            <w:hideMark/>
          </w:tcPr>
          <w:p w14:paraId="2E9651BD" w14:textId="77777777" w:rsidR="00EE311F" w:rsidRPr="00382EB1" w:rsidRDefault="00EE311F" w:rsidP="00515E57">
            <w:pPr>
              <w:spacing w:after="0" w:line="240" w:lineRule="auto"/>
              <w:rPr>
                <w:rFonts w:ascii="Calibri" w:eastAsia="Times New Roman" w:hAnsi="Calibri" w:cs="Calibri"/>
                <w:color w:val="000000"/>
                <w:lang w:eastAsia="en-GB"/>
              </w:rPr>
            </w:pPr>
            <w:r w:rsidRPr="00382EB1">
              <w:rPr>
                <w:rFonts w:ascii="Calibri" w:eastAsia="Times New Roman" w:hAnsi="Calibri" w:cs="Calibri"/>
                <w:color w:val="000000"/>
                <w:lang w:eastAsia="en-GB"/>
              </w:rPr>
              <w:t>Asian girl</w:t>
            </w:r>
          </w:p>
        </w:tc>
        <w:tc>
          <w:tcPr>
            <w:tcW w:w="1040" w:type="dxa"/>
            <w:tcBorders>
              <w:top w:val="nil"/>
              <w:left w:val="nil"/>
              <w:bottom w:val="nil"/>
              <w:right w:val="nil"/>
            </w:tcBorders>
            <w:shd w:val="clear" w:color="auto" w:fill="auto"/>
            <w:noWrap/>
            <w:vAlign w:val="bottom"/>
            <w:hideMark/>
          </w:tcPr>
          <w:p w14:paraId="57CA8724"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0.25</w:t>
            </w:r>
            <w:r>
              <w:rPr>
                <w:rFonts w:ascii="Calibri" w:eastAsia="Times New Roman" w:hAnsi="Calibri" w:cs="Calibri"/>
                <w:color w:val="000000"/>
                <w:lang w:eastAsia="en-GB"/>
              </w:rPr>
              <w:t>*</w:t>
            </w:r>
          </w:p>
        </w:tc>
        <w:tc>
          <w:tcPr>
            <w:tcW w:w="886" w:type="dxa"/>
            <w:tcBorders>
              <w:top w:val="nil"/>
              <w:left w:val="nil"/>
              <w:bottom w:val="nil"/>
              <w:right w:val="nil"/>
            </w:tcBorders>
            <w:shd w:val="clear" w:color="auto" w:fill="auto"/>
            <w:noWrap/>
            <w:vAlign w:val="bottom"/>
            <w:hideMark/>
          </w:tcPr>
          <w:p w14:paraId="0FAF54DC"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0.18</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54573B29"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0.31</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3185796C"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0.24</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689002CB"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0.18</w:t>
            </w:r>
            <w:r>
              <w:rPr>
                <w:rFonts w:ascii="Calibri" w:eastAsia="Times New Roman" w:hAnsi="Calibri" w:cs="Calibri"/>
                <w:color w:val="000000"/>
                <w:lang w:eastAsia="en-GB"/>
              </w:rPr>
              <w:t>*</w:t>
            </w:r>
          </w:p>
        </w:tc>
      </w:tr>
      <w:tr w:rsidR="00EE311F" w:rsidRPr="00382EB1" w14:paraId="5609C40B" w14:textId="77777777" w:rsidTr="00515E57">
        <w:trPr>
          <w:trHeight w:val="290"/>
          <w:jc w:val="center"/>
        </w:trPr>
        <w:tc>
          <w:tcPr>
            <w:tcW w:w="3524" w:type="dxa"/>
            <w:tcBorders>
              <w:top w:val="nil"/>
              <w:left w:val="nil"/>
              <w:bottom w:val="nil"/>
              <w:right w:val="nil"/>
            </w:tcBorders>
            <w:shd w:val="clear" w:color="auto" w:fill="auto"/>
            <w:noWrap/>
            <w:vAlign w:val="bottom"/>
            <w:hideMark/>
          </w:tcPr>
          <w:p w14:paraId="4FF81FE7" w14:textId="77777777" w:rsidR="00EE311F" w:rsidRPr="00382EB1" w:rsidRDefault="00EE311F" w:rsidP="00515E57">
            <w:pPr>
              <w:spacing w:after="0" w:line="240" w:lineRule="auto"/>
              <w:rPr>
                <w:rFonts w:ascii="Calibri" w:eastAsia="Times New Roman" w:hAnsi="Calibri" w:cs="Calibri"/>
                <w:color w:val="000000"/>
                <w:lang w:eastAsia="en-GB"/>
              </w:rPr>
            </w:pPr>
            <w:r w:rsidRPr="00382EB1">
              <w:rPr>
                <w:rFonts w:ascii="Calibri" w:eastAsia="Times New Roman" w:hAnsi="Calibri" w:cs="Calibri"/>
                <w:color w:val="000000"/>
                <w:lang w:eastAsia="en-GB"/>
              </w:rPr>
              <w:t>Black boy</w:t>
            </w:r>
          </w:p>
        </w:tc>
        <w:tc>
          <w:tcPr>
            <w:tcW w:w="1040" w:type="dxa"/>
            <w:tcBorders>
              <w:top w:val="nil"/>
              <w:left w:val="nil"/>
              <w:bottom w:val="nil"/>
              <w:right w:val="nil"/>
            </w:tcBorders>
            <w:shd w:val="clear" w:color="auto" w:fill="auto"/>
            <w:noWrap/>
            <w:vAlign w:val="bottom"/>
            <w:hideMark/>
          </w:tcPr>
          <w:p w14:paraId="7CECC6BE"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1.87</w:t>
            </w:r>
            <w:r>
              <w:rPr>
                <w:rFonts w:ascii="Calibri" w:eastAsia="Times New Roman" w:hAnsi="Calibri" w:cs="Calibri"/>
                <w:color w:val="000000"/>
                <w:lang w:eastAsia="en-GB"/>
              </w:rPr>
              <w:t>*</w:t>
            </w:r>
          </w:p>
        </w:tc>
        <w:tc>
          <w:tcPr>
            <w:tcW w:w="886" w:type="dxa"/>
            <w:tcBorders>
              <w:top w:val="nil"/>
              <w:left w:val="nil"/>
              <w:bottom w:val="nil"/>
              <w:right w:val="nil"/>
            </w:tcBorders>
            <w:shd w:val="clear" w:color="auto" w:fill="auto"/>
            <w:noWrap/>
            <w:vAlign w:val="bottom"/>
            <w:hideMark/>
          </w:tcPr>
          <w:p w14:paraId="22916175"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1.42</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3E5497DA"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1.91</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4E525193"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1.57</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471043E7"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1.57</w:t>
            </w:r>
            <w:r>
              <w:rPr>
                <w:rFonts w:ascii="Calibri" w:eastAsia="Times New Roman" w:hAnsi="Calibri" w:cs="Calibri"/>
                <w:color w:val="000000"/>
                <w:lang w:eastAsia="en-GB"/>
              </w:rPr>
              <w:t>*</w:t>
            </w:r>
          </w:p>
        </w:tc>
      </w:tr>
      <w:tr w:rsidR="00EE311F" w:rsidRPr="00382EB1" w14:paraId="74CA6950" w14:textId="77777777" w:rsidTr="00515E57">
        <w:trPr>
          <w:trHeight w:val="290"/>
          <w:jc w:val="center"/>
        </w:trPr>
        <w:tc>
          <w:tcPr>
            <w:tcW w:w="3524" w:type="dxa"/>
            <w:tcBorders>
              <w:top w:val="nil"/>
              <w:left w:val="nil"/>
              <w:bottom w:val="nil"/>
              <w:right w:val="nil"/>
            </w:tcBorders>
            <w:shd w:val="clear" w:color="auto" w:fill="auto"/>
            <w:noWrap/>
            <w:vAlign w:val="bottom"/>
            <w:hideMark/>
          </w:tcPr>
          <w:p w14:paraId="4FB2ACA4" w14:textId="77777777" w:rsidR="00EE311F" w:rsidRPr="00382EB1" w:rsidRDefault="00EE311F" w:rsidP="00515E57">
            <w:pPr>
              <w:spacing w:after="0" w:line="240" w:lineRule="auto"/>
              <w:rPr>
                <w:rFonts w:ascii="Calibri" w:eastAsia="Times New Roman" w:hAnsi="Calibri" w:cs="Calibri"/>
                <w:color w:val="000000"/>
                <w:lang w:eastAsia="en-GB"/>
              </w:rPr>
            </w:pPr>
            <w:r w:rsidRPr="00382EB1">
              <w:rPr>
                <w:rFonts w:ascii="Calibri" w:eastAsia="Times New Roman" w:hAnsi="Calibri" w:cs="Calibri"/>
                <w:color w:val="000000"/>
                <w:lang w:eastAsia="en-GB"/>
              </w:rPr>
              <w:t>Black girl</w:t>
            </w:r>
          </w:p>
        </w:tc>
        <w:tc>
          <w:tcPr>
            <w:tcW w:w="1040" w:type="dxa"/>
            <w:tcBorders>
              <w:top w:val="nil"/>
              <w:left w:val="nil"/>
              <w:bottom w:val="nil"/>
              <w:right w:val="nil"/>
            </w:tcBorders>
            <w:shd w:val="clear" w:color="auto" w:fill="auto"/>
            <w:noWrap/>
            <w:vAlign w:val="bottom"/>
            <w:hideMark/>
          </w:tcPr>
          <w:p w14:paraId="1495F6D5"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0.79</w:t>
            </w:r>
          </w:p>
        </w:tc>
        <w:tc>
          <w:tcPr>
            <w:tcW w:w="886" w:type="dxa"/>
            <w:tcBorders>
              <w:top w:val="nil"/>
              <w:left w:val="nil"/>
              <w:bottom w:val="nil"/>
              <w:right w:val="nil"/>
            </w:tcBorders>
            <w:shd w:val="clear" w:color="auto" w:fill="auto"/>
            <w:noWrap/>
            <w:vAlign w:val="bottom"/>
            <w:hideMark/>
          </w:tcPr>
          <w:p w14:paraId="582B0864"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0.85</w:t>
            </w:r>
          </w:p>
        </w:tc>
        <w:tc>
          <w:tcPr>
            <w:tcW w:w="1040" w:type="dxa"/>
            <w:tcBorders>
              <w:top w:val="nil"/>
              <w:left w:val="nil"/>
              <w:bottom w:val="nil"/>
              <w:right w:val="nil"/>
            </w:tcBorders>
            <w:shd w:val="clear" w:color="auto" w:fill="auto"/>
            <w:noWrap/>
            <w:vAlign w:val="bottom"/>
            <w:hideMark/>
          </w:tcPr>
          <w:p w14:paraId="05EDDB51"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0.91</w:t>
            </w:r>
          </w:p>
        </w:tc>
        <w:tc>
          <w:tcPr>
            <w:tcW w:w="1040" w:type="dxa"/>
            <w:tcBorders>
              <w:top w:val="nil"/>
              <w:left w:val="nil"/>
              <w:bottom w:val="nil"/>
              <w:right w:val="nil"/>
            </w:tcBorders>
            <w:shd w:val="clear" w:color="auto" w:fill="auto"/>
            <w:noWrap/>
            <w:vAlign w:val="bottom"/>
            <w:hideMark/>
          </w:tcPr>
          <w:p w14:paraId="110376FD"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0.83</w:t>
            </w:r>
          </w:p>
        </w:tc>
        <w:tc>
          <w:tcPr>
            <w:tcW w:w="1040" w:type="dxa"/>
            <w:tcBorders>
              <w:top w:val="nil"/>
              <w:left w:val="nil"/>
              <w:bottom w:val="nil"/>
              <w:right w:val="nil"/>
            </w:tcBorders>
            <w:shd w:val="clear" w:color="auto" w:fill="auto"/>
            <w:noWrap/>
            <w:vAlign w:val="bottom"/>
            <w:hideMark/>
          </w:tcPr>
          <w:p w14:paraId="4CF8831A"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0.61</w:t>
            </w:r>
            <w:r>
              <w:rPr>
                <w:rFonts w:ascii="Calibri" w:eastAsia="Times New Roman" w:hAnsi="Calibri" w:cs="Calibri"/>
                <w:color w:val="000000"/>
                <w:lang w:eastAsia="en-GB"/>
              </w:rPr>
              <w:t>*</w:t>
            </w:r>
          </w:p>
        </w:tc>
      </w:tr>
      <w:tr w:rsidR="00EE311F" w:rsidRPr="00382EB1" w14:paraId="2FEF2714" w14:textId="77777777" w:rsidTr="00515E57">
        <w:trPr>
          <w:trHeight w:val="290"/>
          <w:jc w:val="center"/>
        </w:trPr>
        <w:tc>
          <w:tcPr>
            <w:tcW w:w="3524" w:type="dxa"/>
            <w:tcBorders>
              <w:top w:val="nil"/>
              <w:left w:val="nil"/>
              <w:bottom w:val="nil"/>
              <w:right w:val="nil"/>
            </w:tcBorders>
            <w:shd w:val="clear" w:color="auto" w:fill="auto"/>
            <w:noWrap/>
            <w:vAlign w:val="bottom"/>
            <w:hideMark/>
          </w:tcPr>
          <w:p w14:paraId="14371F58" w14:textId="77777777" w:rsidR="00EE311F" w:rsidRPr="00382EB1" w:rsidRDefault="00EE311F" w:rsidP="00515E57">
            <w:pPr>
              <w:spacing w:after="0" w:line="240" w:lineRule="auto"/>
              <w:rPr>
                <w:rFonts w:ascii="Calibri" w:eastAsia="Times New Roman" w:hAnsi="Calibri" w:cs="Calibri"/>
                <w:color w:val="000000"/>
                <w:lang w:eastAsia="en-GB"/>
              </w:rPr>
            </w:pPr>
            <w:r w:rsidRPr="00382EB1">
              <w:rPr>
                <w:rFonts w:ascii="Calibri" w:eastAsia="Times New Roman" w:hAnsi="Calibri" w:cs="Calibri"/>
                <w:color w:val="000000"/>
                <w:lang w:eastAsia="en-GB"/>
              </w:rPr>
              <w:t>Mixed race boy</w:t>
            </w:r>
          </w:p>
        </w:tc>
        <w:tc>
          <w:tcPr>
            <w:tcW w:w="1040" w:type="dxa"/>
            <w:tcBorders>
              <w:top w:val="nil"/>
              <w:left w:val="nil"/>
              <w:bottom w:val="nil"/>
              <w:right w:val="nil"/>
            </w:tcBorders>
            <w:shd w:val="clear" w:color="auto" w:fill="auto"/>
            <w:noWrap/>
            <w:vAlign w:val="bottom"/>
            <w:hideMark/>
          </w:tcPr>
          <w:p w14:paraId="21BA416C"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1.82</w:t>
            </w:r>
            <w:r>
              <w:rPr>
                <w:rFonts w:ascii="Calibri" w:eastAsia="Times New Roman" w:hAnsi="Calibri" w:cs="Calibri"/>
                <w:color w:val="000000"/>
                <w:lang w:eastAsia="en-GB"/>
              </w:rPr>
              <w:t>*</w:t>
            </w:r>
          </w:p>
        </w:tc>
        <w:tc>
          <w:tcPr>
            <w:tcW w:w="886" w:type="dxa"/>
            <w:tcBorders>
              <w:top w:val="nil"/>
              <w:left w:val="nil"/>
              <w:bottom w:val="nil"/>
              <w:right w:val="nil"/>
            </w:tcBorders>
            <w:shd w:val="clear" w:color="auto" w:fill="auto"/>
            <w:noWrap/>
            <w:vAlign w:val="bottom"/>
            <w:hideMark/>
          </w:tcPr>
          <w:p w14:paraId="016C8688"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1.42</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3B71CF05"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1.39</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181FD4D4"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1.35</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18347813"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1.23</w:t>
            </w:r>
          </w:p>
        </w:tc>
      </w:tr>
      <w:tr w:rsidR="00EE311F" w:rsidRPr="00382EB1" w14:paraId="5C7C6998" w14:textId="77777777" w:rsidTr="00515E57">
        <w:trPr>
          <w:trHeight w:val="290"/>
          <w:jc w:val="center"/>
        </w:trPr>
        <w:tc>
          <w:tcPr>
            <w:tcW w:w="3524" w:type="dxa"/>
            <w:tcBorders>
              <w:top w:val="nil"/>
              <w:left w:val="nil"/>
              <w:bottom w:val="nil"/>
              <w:right w:val="nil"/>
            </w:tcBorders>
            <w:shd w:val="clear" w:color="auto" w:fill="auto"/>
            <w:noWrap/>
            <w:vAlign w:val="bottom"/>
            <w:hideMark/>
          </w:tcPr>
          <w:p w14:paraId="04BAEA42" w14:textId="77777777" w:rsidR="00EE311F" w:rsidRPr="00382EB1" w:rsidRDefault="00EE311F" w:rsidP="00515E57">
            <w:pPr>
              <w:spacing w:after="0" w:line="240" w:lineRule="auto"/>
              <w:rPr>
                <w:rFonts w:ascii="Calibri" w:eastAsia="Times New Roman" w:hAnsi="Calibri" w:cs="Calibri"/>
                <w:color w:val="000000"/>
                <w:lang w:eastAsia="en-GB"/>
              </w:rPr>
            </w:pPr>
            <w:r w:rsidRPr="00382EB1">
              <w:rPr>
                <w:rFonts w:ascii="Calibri" w:eastAsia="Times New Roman" w:hAnsi="Calibri" w:cs="Calibri"/>
                <w:color w:val="000000"/>
                <w:lang w:eastAsia="en-GB"/>
              </w:rPr>
              <w:t>Mixed race girl</w:t>
            </w:r>
          </w:p>
        </w:tc>
        <w:tc>
          <w:tcPr>
            <w:tcW w:w="1040" w:type="dxa"/>
            <w:tcBorders>
              <w:top w:val="nil"/>
              <w:left w:val="nil"/>
              <w:bottom w:val="nil"/>
              <w:right w:val="nil"/>
            </w:tcBorders>
            <w:shd w:val="clear" w:color="auto" w:fill="auto"/>
            <w:noWrap/>
            <w:vAlign w:val="bottom"/>
            <w:hideMark/>
          </w:tcPr>
          <w:p w14:paraId="11B99E1A"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0.72</w:t>
            </w:r>
          </w:p>
        </w:tc>
        <w:tc>
          <w:tcPr>
            <w:tcW w:w="886" w:type="dxa"/>
            <w:tcBorders>
              <w:top w:val="nil"/>
              <w:left w:val="nil"/>
              <w:bottom w:val="nil"/>
              <w:right w:val="nil"/>
            </w:tcBorders>
            <w:shd w:val="clear" w:color="auto" w:fill="auto"/>
            <w:noWrap/>
            <w:vAlign w:val="bottom"/>
            <w:hideMark/>
          </w:tcPr>
          <w:p w14:paraId="18F300CC"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0.94</w:t>
            </w:r>
          </w:p>
        </w:tc>
        <w:tc>
          <w:tcPr>
            <w:tcW w:w="1040" w:type="dxa"/>
            <w:tcBorders>
              <w:top w:val="nil"/>
              <w:left w:val="nil"/>
              <w:bottom w:val="nil"/>
              <w:right w:val="nil"/>
            </w:tcBorders>
            <w:shd w:val="clear" w:color="auto" w:fill="auto"/>
            <w:noWrap/>
            <w:vAlign w:val="bottom"/>
            <w:hideMark/>
          </w:tcPr>
          <w:p w14:paraId="3D72522C"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1.18</w:t>
            </w:r>
          </w:p>
        </w:tc>
        <w:tc>
          <w:tcPr>
            <w:tcW w:w="1040" w:type="dxa"/>
            <w:tcBorders>
              <w:top w:val="nil"/>
              <w:left w:val="nil"/>
              <w:bottom w:val="nil"/>
              <w:right w:val="nil"/>
            </w:tcBorders>
            <w:shd w:val="clear" w:color="auto" w:fill="auto"/>
            <w:noWrap/>
            <w:vAlign w:val="bottom"/>
            <w:hideMark/>
          </w:tcPr>
          <w:p w14:paraId="65C7476F"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1.11</w:t>
            </w:r>
          </w:p>
        </w:tc>
        <w:tc>
          <w:tcPr>
            <w:tcW w:w="1040" w:type="dxa"/>
            <w:tcBorders>
              <w:top w:val="nil"/>
              <w:left w:val="nil"/>
              <w:bottom w:val="nil"/>
              <w:right w:val="nil"/>
            </w:tcBorders>
            <w:shd w:val="clear" w:color="auto" w:fill="auto"/>
            <w:noWrap/>
            <w:vAlign w:val="bottom"/>
            <w:hideMark/>
          </w:tcPr>
          <w:p w14:paraId="290C6B48"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0.80</w:t>
            </w:r>
          </w:p>
        </w:tc>
      </w:tr>
      <w:tr w:rsidR="00EE311F" w:rsidRPr="00382EB1" w14:paraId="4D51A064" w14:textId="77777777" w:rsidTr="00515E57">
        <w:trPr>
          <w:trHeight w:val="290"/>
          <w:jc w:val="center"/>
        </w:trPr>
        <w:tc>
          <w:tcPr>
            <w:tcW w:w="3524" w:type="dxa"/>
            <w:tcBorders>
              <w:top w:val="nil"/>
              <w:left w:val="nil"/>
              <w:bottom w:val="nil"/>
              <w:right w:val="nil"/>
            </w:tcBorders>
            <w:shd w:val="clear" w:color="auto" w:fill="auto"/>
            <w:noWrap/>
            <w:vAlign w:val="bottom"/>
            <w:hideMark/>
          </w:tcPr>
          <w:p w14:paraId="2BEBCE27" w14:textId="77777777" w:rsidR="00EE311F" w:rsidRPr="00382EB1" w:rsidRDefault="00EE311F" w:rsidP="00515E57">
            <w:pPr>
              <w:spacing w:after="0" w:line="240" w:lineRule="auto"/>
              <w:rPr>
                <w:rFonts w:ascii="Calibri" w:eastAsia="Times New Roman" w:hAnsi="Calibri" w:cs="Calibri"/>
                <w:color w:val="000000"/>
                <w:lang w:eastAsia="en-GB"/>
              </w:rPr>
            </w:pPr>
            <w:r w:rsidRPr="00382EB1">
              <w:rPr>
                <w:rFonts w:ascii="Calibri" w:eastAsia="Times New Roman" w:hAnsi="Calibri" w:cs="Calibri"/>
                <w:color w:val="000000"/>
                <w:lang w:eastAsia="en-GB"/>
              </w:rPr>
              <w:t>Other ethnicity boy</w:t>
            </w:r>
          </w:p>
        </w:tc>
        <w:tc>
          <w:tcPr>
            <w:tcW w:w="1040" w:type="dxa"/>
            <w:tcBorders>
              <w:top w:val="nil"/>
              <w:left w:val="nil"/>
              <w:bottom w:val="nil"/>
              <w:right w:val="nil"/>
            </w:tcBorders>
            <w:shd w:val="clear" w:color="auto" w:fill="auto"/>
            <w:noWrap/>
            <w:vAlign w:val="bottom"/>
            <w:hideMark/>
          </w:tcPr>
          <w:p w14:paraId="10507128"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1.03</w:t>
            </w:r>
          </w:p>
        </w:tc>
        <w:tc>
          <w:tcPr>
            <w:tcW w:w="886" w:type="dxa"/>
            <w:tcBorders>
              <w:top w:val="nil"/>
              <w:left w:val="nil"/>
              <w:bottom w:val="nil"/>
              <w:right w:val="nil"/>
            </w:tcBorders>
            <w:shd w:val="clear" w:color="auto" w:fill="auto"/>
            <w:noWrap/>
            <w:vAlign w:val="bottom"/>
            <w:hideMark/>
          </w:tcPr>
          <w:p w14:paraId="7911CDD7"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0.88</w:t>
            </w:r>
          </w:p>
        </w:tc>
        <w:tc>
          <w:tcPr>
            <w:tcW w:w="1040" w:type="dxa"/>
            <w:tcBorders>
              <w:top w:val="nil"/>
              <w:left w:val="nil"/>
              <w:bottom w:val="nil"/>
              <w:right w:val="nil"/>
            </w:tcBorders>
            <w:shd w:val="clear" w:color="auto" w:fill="auto"/>
            <w:noWrap/>
            <w:vAlign w:val="bottom"/>
            <w:hideMark/>
          </w:tcPr>
          <w:p w14:paraId="3B12A7CB"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0.78</w:t>
            </w:r>
          </w:p>
        </w:tc>
        <w:tc>
          <w:tcPr>
            <w:tcW w:w="1040" w:type="dxa"/>
            <w:tcBorders>
              <w:top w:val="nil"/>
              <w:left w:val="nil"/>
              <w:bottom w:val="nil"/>
              <w:right w:val="nil"/>
            </w:tcBorders>
            <w:shd w:val="clear" w:color="auto" w:fill="auto"/>
            <w:noWrap/>
            <w:vAlign w:val="bottom"/>
            <w:hideMark/>
          </w:tcPr>
          <w:p w14:paraId="55BBE5CB"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0.94</w:t>
            </w:r>
          </w:p>
        </w:tc>
        <w:tc>
          <w:tcPr>
            <w:tcW w:w="1040" w:type="dxa"/>
            <w:tcBorders>
              <w:top w:val="nil"/>
              <w:left w:val="nil"/>
              <w:bottom w:val="nil"/>
              <w:right w:val="nil"/>
            </w:tcBorders>
            <w:shd w:val="clear" w:color="auto" w:fill="auto"/>
            <w:noWrap/>
            <w:vAlign w:val="bottom"/>
            <w:hideMark/>
          </w:tcPr>
          <w:p w14:paraId="246B8ECA"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1.00</w:t>
            </w:r>
          </w:p>
        </w:tc>
      </w:tr>
      <w:tr w:rsidR="00EE311F" w:rsidRPr="00382EB1" w14:paraId="29A379F1" w14:textId="77777777" w:rsidTr="00515E57">
        <w:trPr>
          <w:trHeight w:val="290"/>
          <w:jc w:val="center"/>
        </w:trPr>
        <w:tc>
          <w:tcPr>
            <w:tcW w:w="3524" w:type="dxa"/>
            <w:tcBorders>
              <w:top w:val="nil"/>
              <w:left w:val="nil"/>
              <w:bottom w:val="nil"/>
              <w:right w:val="nil"/>
            </w:tcBorders>
            <w:shd w:val="clear" w:color="auto" w:fill="auto"/>
            <w:noWrap/>
            <w:vAlign w:val="bottom"/>
            <w:hideMark/>
          </w:tcPr>
          <w:p w14:paraId="4F830155" w14:textId="77777777" w:rsidR="00EE311F" w:rsidRPr="00382EB1" w:rsidRDefault="00EE311F" w:rsidP="00515E57">
            <w:pPr>
              <w:spacing w:after="0" w:line="240" w:lineRule="auto"/>
              <w:rPr>
                <w:rFonts w:ascii="Calibri" w:eastAsia="Times New Roman" w:hAnsi="Calibri" w:cs="Calibri"/>
                <w:color w:val="000000"/>
                <w:lang w:eastAsia="en-GB"/>
              </w:rPr>
            </w:pPr>
            <w:r w:rsidRPr="00382EB1">
              <w:rPr>
                <w:rFonts w:ascii="Calibri" w:eastAsia="Times New Roman" w:hAnsi="Calibri" w:cs="Calibri"/>
                <w:color w:val="000000"/>
                <w:lang w:eastAsia="en-GB"/>
              </w:rPr>
              <w:t>Other ethnicity girl</w:t>
            </w:r>
          </w:p>
        </w:tc>
        <w:tc>
          <w:tcPr>
            <w:tcW w:w="1040" w:type="dxa"/>
            <w:tcBorders>
              <w:top w:val="nil"/>
              <w:left w:val="nil"/>
              <w:bottom w:val="nil"/>
              <w:right w:val="nil"/>
            </w:tcBorders>
            <w:shd w:val="clear" w:color="auto" w:fill="auto"/>
            <w:noWrap/>
            <w:vAlign w:val="bottom"/>
            <w:hideMark/>
          </w:tcPr>
          <w:p w14:paraId="6FD6EE05" w14:textId="77777777" w:rsidR="00EE311F" w:rsidRPr="00382EB1" w:rsidRDefault="00EE311F" w:rsidP="00515E5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w:t>
            </w:r>
          </w:p>
        </w:tc>
        <w:tc>
          <w:tcPr>
            <w:tcW w:w="886" w:type="dxa"/>
            <w:tcBorders>
              <w:top w:val="nil"/>
              <w:left w:val="nil"/>
              <w:bottom w:val="nil"/>
              <w:right w:val="nil"/>
            </w:tcBorders>
            <w:shd w:val="clear" w:color="auto" w:fill="auto"/>
            <w:noWrap/>
            <w:vAlign w:val="bottom"/>
            <w:hideMark/>
          </w:tcPr>
          <w:p w14:paraId="23763559"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0.42</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08E950CE"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0.34</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79CDAE86"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0.45</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62AD33A7"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0.33</w:t>
            </w:r>
            <w:r>
              <w:rPr>
                <w:rFonts w:ascii="Calibri" w:eastAsia="Times New Roman" w:hAnsi="Calibri" w:cs="Calibri"/>
                <w:color w:val="000000"/>
                <w:lang w:eastAsia="en-GB"/>
              </w:rPr>
              <w:t>*</w:t>
            </w:r>
          </w:p>
        </w:tc>
      </w:tr>
      <w:tr w:rsidR="00EE311F" w:rsidRPr="00382EB1" w14:paraId="6BF9CB85" w14:textId="77777777" w:rsidTr="00515E57">
        <w:trPr>
          <w:trHeight w:val="290"/>
          <w:jc w:val="center"/>
        </w:trPr>
        <w:tc>
          <w:tcPr>
            <w:tcW w:w="3524" w:type="dxa"/>
            <w:tcBorders>
              <w:top w:val="nil"/>
              <w:left w:val="nil"/>
              <w:bottom w:val="nil"/>
              <w:right w:val="nil"/>
            </w:tcBorders>
            <w:shd w:val="clear" w:color="auto" w:fill="auto"/>
            <w:noWrap/>
            <w:vAlign w:val="bottom"/>
            <w:hideMark/>
          </w:tcPr>
          <w:p w14:paraId="7F89D815" w14:textId="77777777" w:rsidR="00EE311F" w:rsidRPr="00382EB1" w:rsidRDefault="00EE311F" w:rsidP="00515E57">
            <w:pPr>
              <w:spacing w:after="0" w:line="240" w:lineRule="auto"/>
              <w:rPr>
                <w:rFonts w:ascii="Calibri" w:eastAsia="Times New Roman" w:hAnsi="Calibri" w:cs="Calibri"/>
                <w:color w:val="000000"/>
                <w:lang w:eastAsia="en-GB"/>
              </w:rPr>
            </w:pPr>
            <w:r w:rsidRPr="00382EB1">
              <w:rPr>
                <w:rFonts w:ascii="Calibri" w:eastAsia="Times New Roman" w:hAnsi="Calibri" w:cs="Calibri"/>
                <w:color w:val="000000"/>
                <w:lang w:eastAsia="en-GB"/>
              </w:rPr>
              <w:t>High achieving, above average SES</w:t>
            </w:r>
          </w:p>
        </w:tc>
        <w:tc>
          <w:tcPr>
            <w:tcW w:w="1040" w:type="dxa"/>
            <w:tcBorders>
              <w:top w:val="nil"/>
              <w:left w:val="nil"/>
              <w:bottom w:val="nil"/>
              <w:right w:val="nil"/>
            </w:tcBorders>
            <w:shd w:val="clear" w:color="auto" w:fill="auto"/>
            <w:noWrap/>
            <w:vAlign w:val="bottom"/>
            <w:hideMark/>
          </w:tcPr>
          <w:p w14:paraId="66338D0C"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0.15</w:t>
            </w:r>
            <w:r>
              <w:rPr>
                <w:rFonts w:ascii="Calibri" w:eastAsia="Times New Roman" w:hAnsi="Calibri" w:cs="Calibri"/>
                <w:color w:val="000000"/>
                <w:lang w:eastAsia="en-GB"/>
              </w:rPr>
              <w:t>*</w:t>
            </w:r>
          </w:p>
        </w:tc>
        <w:tc>
          <w:tcPr>
            <w:tcW w:w="886" w:type="dxa"/>
            <w:tcBorders>
              <w:top w:val="nil"/>
              <w:left w:val="nil"/>
              <w:bottom w:val="nil"/>
              <w:right w:val="nil"/>
            </w:tcBorders>
            <w:shd w:val="clear" w:color="auto" w:fill="auto"/>
            <w:noWrap/>
            <w:vAlign w:val="bottom"/>
            <w:hideMark/>
          </w:tcPr>
          <w:p w14:paraId="62B6E318"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0.16</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1D32F27A"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0.19</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468CF53B"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0.19</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28A8BA24"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0.21</w:t>
            </w:r>
            <w:r>
              <w:rPr>
                <w:rFonts w:ascii="Calibri" w:eastAsia="Times New Roman" w:hAnsi="Calibri" w:cs="Calibri"/>
                <w:color w:val="000000"/>
                <w:lang w:eastAsia="en-GB"/>
              </w:rPr>
              <w:t>*</w:t>
            </w:r>
          </w:p>
        </w:tc>
      </w:tr>
      <w:tr w:rsidR="00EE311F" w:rsidRPr="00382EB1" w14:paraId="60635970" w14:textId="77777777" w:rsidTr="00515E57">
        <w:trPr>
          <w:trHeight w:val="290"/>
          <w:jc w:val="center"/>
        </w:trPr>
        <w:tc>
          <w:tcPr>
            <w:tcW w:w="3524" w:type="dxa"/>
            <w:tcBorders>
              <w:top w:val="nil"/>
              <w:left w:val="nil"/>
              <w:bottom w:val="nil"/>
              <w:right w:val="nil"/>
            </w:tcBorders>
            <w:shd w:val="clear" w:color="auto" w:fill="auto"/>
            <w:noWrap/>
            <w:vAlign w:val="bottom"/>
            <w:hideMark/>
          </w:tcPr>
          <w:p w14:paraId="6901A25A" w14:textId="77777777" w:rsidR="00EE311F" w:rsidRPr="00382EB1" w:rsidRDefault="00EE311F" w:rsidP="00515E57">
            <w:pPr>
              <w:spacing w:after="0" w:line="240" w:lineRule="auto"/>
              <w:rPr>
                <w:rFonts w:ascii="Calibri" w:eastAsia="Times New Roman" w:hAnsi="Calibri" w:cs="Calibri"/>
                <w:color w:val="000000"/>
                <w:lang w:eastAsia="en-GB"/>
              </w:rPr>
            </w:pPr>
            <w:r w:rsidRPr="00382EB1">
              <w:rPr>
                <w:rFonts w:ascii="Calibri" w:eastAsia="Times New Roman" w:hAnsi="Calibri" w:cs="Calibri"/>
                <w:color w:val="000000"/>
                <w:lang w:eastAsia="en-GB"/>
              </w:rPr>
              <w:t>High achieving, Q3 SES</w:t>
            </w:r>
          </w:p>
        </w:tc>
        <w:tc>
          <w:tcPr>
            <w:tcW w:w="1040" w:type="dxa"/>
            <w:tcBorders>
              <w:top w:val="nil"/>
              <w:left w:val="nil"/>
              <w:bottom w:val="nil"/>
              <w:right w:val="nil"/>
            </w:tcBorders>
            <w:shd w:val="clear" w:color="auto" w:fill="auto"/>
            <w:noWrap/>
            <w:vAlign w:val="bottom"/>
            <w:hideMark/>
          </w:tcPr>
          <w:p w14:paraId="7EBE4C67"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0.32</w:t>
            </w:r>
            <w:r>
              <w:rPr>
                <w:rFonts w:ascii="Calibri" w:eastAsia="Times New Roman" w:hAnsi="Calibri" w:cs="Calibri"/>
                <w:color w:val="000000"/>
                <w:lang w:eastAsia="en-GB"/>
              </w:rPr>
              <w:t>*</w:t>
            </w:r>
          </w:p>
        </w:tc>
        <w:tc>
          <w:tcPr>
            <w:tcW w:w="886" w:type="dxa"/>
            <w:tcBorders>
              <w:top w:val="nil"/>
              <w:left w:val="nil"/>
              <w:bottom w:val="nil"/>
              <w:right w:val="nil"/>
            </w:tcBorders>
            <w:shd w:val="clear" w:color="auto" w:fill="auto"/>
            <w:noWrap/>
            <w:vAlign w:val="bottom"/>
            <w:hideMark/>
          </w:tcPr>
          <w:p w14:paraId="65861955"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0.34</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6486ACEA"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0.40</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1DA48173"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0.39</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4B06D698" w14:textId="77777777" w:rsidR="00EE311F" w:rsidRPr="00382EB1" w:rsidRDefault="00EE311F" w:rsidP="00515E57">
            <w:pPr>
              <w:spacing w:after="0" w:line="240" w:lineRule="auto"/>
              <w:jc w:val="center"/>
              <w:rPr>
                <w:rFonts w:ascii="Calibri" w:eastAsia="Times New Roman" w:hAnsi="Calibri" w:cs="Calibri"/>
                <w:color w:val="000000"/>
                <w:lang w:eastAsia="en-GB"/>
              </w:rPr>
            </w:pPr>
            <w:r w:rsidRPr="00382EB1">
              <w:rPr>
                <w:rFonts w:ascii="Calibri" w:eastAsia="Times New Roman" w:hAnsi="Calibri" w:cs="Calibri"/>
                <w:color w:val="000000"/>
                <w:lang w:eastAsia="en-GB"/>
              </w:rPr>
              <w:t>0.38</w:t>
            </w:r>
            <w:r>
              <w:rPr>
                <w:rFonts w:ascii="Calibri" w:eastAsia="Times New Roman" w:hAnsi="Calibri" w:cs="Calibri"/>
                <w:color w:val="000000"/>
                <w:lang w:eastAsia="en-GB"/>
              </w:rPr>
              <w:t>*</w:t>
            </w:r>
          </w:p>
        </w:tc>
      </w:tr>
      <w:tr w:rsidR="00EE311F" w:rsidRPr="00382EB1" w14:paraId="5D54F167" w14:textId="77777777" w:rsidTr="00515E57">
        <w:trPr>
          <w:trHeight w:val="290"/>
          <w:jc w:val="center"/>
        </w:trPr>
        <w:tc>
          <w:tcPr>
            <w:tcW w:w="3524" w:type="dxa"/>
            <w:tcBorders>
              <w:top w:val="single" w:sz="4" w:space="0" w:color="auto"/>
              <w:left w:val="nil"/>
              <w:bottom w:val="single" w:sz="4" w:space="0" w:color="auto"/>
              <w:right w:val="nil"/>
            </w:tcBorders>
            <w:shd w:val="clear" w:color="auto" w:fill="auto"/>
            <w:noWrap/>
            <w:vAlign w:val="bottom"/>
            <w:hideMark/>
          </w:tcPr>
          <w:p w14:paraId="5E6AFDD2" w14:textId="77777777" w:rsidR="00EE311F" w:rsidRPr="00382EB1" w:rsidRDefault="00EE311F" w:rsidP="00515E57">
            <w:pPr>
              <w:spacing w:after="0" w:line="240" w:lineRule="auto"/>
              <w:rPr>
                <w:rFonts w:ascii="Calibri" w:eastAsia="Times New Roman" w:hAnsi="Calibri" w:cs="Calibri"/>
                <w:b/>
                <w:bCs/>
                <w:color w:val="000000"/>
                <w:lang w:eastAsia="en-GB"/>
              </w:rPr>
            </w:pPr>
            <w:r w:rsidRPr="00382EB1">
              <w:rPr>
                <w:rFonts w:ascii="Calibri" w:eastAsia="Times New Roman" w:hAnsi="Calibri" w:cs="Calibri"/>
                <w:b/>
                <w:bCs/>
                <w:color w:val="000000"/>
                <w:lang w:eastAsia="en-GB"/>
              </w:rPr>
              <w:t>N</w:t>
            </w:r>
          </w:p>
        </w:tc>
        <w:tc>
          <w:tcPr>
            <w:tcW w:w="1040" w:type="dxa"/>
            <w:tcBorders>
              <w:top w:val="single" w:sz="4" w:space="0" w:color="auto"/>
              <w:left w:val="nil"/>
              <w:bottom w:val="single" w:sz="4" w:space="0" w:color="auto"/>
              <w:right w:val="nil"/>
            </w:tcBorders>
            <w:shd w:val="clear" w:color="auto" w:fill="auto"/>
            <w:noWrap/>
            <w:vAlign w:val="bottom"/>
            <w:hideMark/>
          </w:tcPr>
          <w:p w14:paraId="49983CDA" w14:textId="77777777" w:rsidR="00EE311F" w:rsidRPr="00382EB1" w:rsidRDefault="00EE311F" w:rsidP="00515E57">
            <w:pPr>
              <w:spacing w:after="0" w:line="240" w:lineRule="auto"/>
              <w:jc w:val="center"/>
              <w:rPr>
                <w:rFonts w:ascii="Calibri" w:eastAsia="Times New Roman" w:hAnsi="Calibri" w:cs="Calibri"/>
                <w:b/>
                <w:bCs/>
                <w:color w:val="000000"/>
                <w:lang w:eastAsia="en-GB"/>
              </w:rPr>
            </w:pPr>
            <w:r w:rsidRPr="00382EB1">
              <w:rPr>
                <w:rFonts w:ascii="Calibri" w:eastAsia="Times New Roman" w:hAnsi="Calibri" w:cs="Calibri"/>
                <w:b/>
                <w:bCs/>
                <w:color w:val="000000"/>
                <w:lang w:eastAsia="en-GB"/>
              </w:rPr>
              <w:t>241361</w:t>
            </w:r>
          </w:p>
        </w:tc>
        <w:tc>
          <w:tcPr>
            <w:tcW w:w="886" w:type="dxa"/>
            <w:tcBorders>
              <w:top w:val="single" w:sz="4" w:space="0" w:color="auto"/>
              <w:left w:val="nil"/>
              <w:bottom w:val="single" w:sz="4" w:space="0" w:color="auto"/>
              <w:right w:val="nil"/>
            </w:tcBorders>
            <w:shd w:val="clear" w:color="auto" w:fill="auto"/>
            <w:noWrap/>
            <w:vAlign w:val="bottom"/>
            <w:hideMark/>
          </w:tcPr>
          <w:p w14:paraId="70634FAF" w14:textId="77777777" w:rsidR="00EE311F" w:rsidRPr="00382EB1" w:rsidRDefault="00EE311F" w:rsidP="00515E57">
            <w:pPr>
              <w:spacing w:after="0" w:line="240" w:lineRule="auto"/>
              <w:jc w:val="center"/>
              <w:rPr>
                <w:rFonts w:ascii="Calibri" w:eastAsia="Times New Roman" w:hAnsi="Calibri" w:cs="Calibri"/>
                <w:b/>
                <w:bCs/>
                <w:color w:val="000000"/>
                <w:lang w:eastAsia="en-GB"/>
              </w:rPr>
            </w:pPr>
            <w:r w:rsidRPr="00382EB1">
              <w:rPr>
                <w:rFonts w:ascii="Calibri" w:eastAsia="Times New Roman" w:hAnsi="Calibri" w:cs="Calibri"/>
                <w:b/>
                <w:bCs/>
                <w:color w:val="000000"/>
                <w:lang w:eastAsia="en-GB"/>
              </w:rPr>
              <w:t>241361</w:t>
            </w:r>
          </w:p>
        </w:tc>
        <w:tc>
          <w:tcPr>
            <w:tcW w:w="1040" w:type="dxa"/>
            <w:tcBorders>
              <w:top w:val="single" w:sz="4" w:space="0" w:color="auto"/>
              <w:left w:val="nil"/>
              <w:bottom w:val="single" w:sz="4" w:space="0" w:color="auto"/>
              <w:right w:val="nil"/>
            </w:tcBorders>
            <w:shd w:val="clear" w:color="auto" w:fill="auto"/>
            <w:noWrap/>
            <w:vAlign w:val="bottom"/>
            <w:hideMark/>
          </w:tcPr>
          <w:p w14:paraId="2CF4DA45" w14:textId="77777777" w:rsidR="00EE311F" w:rsidRPr="00382EB1" w:rsidRDefault="00EE311F" w:rsidP="00515E57">
            <w:pPr>
              <w:spacing w:after="0" w:line="240" w:lineRule="auto"/>
              <w:jc w:val="center"/>
              <w:rPr>
                <w:rFonts w:ascii="Calibri" w:eastAsia="Times New Roman" w:hAnsi="Calibri" w:cs="Calibri"/>
                <w:b/>
                <w:bCs/>
                <w:color w:val="000000"/>
                <w:lang w:eastAsia="en-GB"/>
              </w:rPr>
            </w:pPr>
            <w:r w:rsidRPr="00382EB1">
              <w:rPr>
                <w:rFonts w:ascii="Calibri" w:eastAsia="Times New Roman" w:hAnsi="Calibri" w:cs="Calibri"/>
                <w:b/>
                <w:bCs/>
                <w:color w:val="000000"/>
                <w:lang w:eastAsia="en-GB"/>
              </w:rPr>
              <w:t>241361</w:t>
            </w:r>
          </w:p>
        </w:tc>
        <w:tc>
          <w:tcPr>
            <w:tcW w:w="1040" w:type="dxa"/>
            <w:tcBorders>
              <w:top w:val="single" w:sz="4" w:space="0" w:color="auto"/>
              <w:left w:val="nil"/>
              <w:bottom w:val="single" w:sz="4" w:space="0" w:color="auto"/>
              <w:right w:val="nil"/>
            </w:tcBorders>
            <w:shd w:val="clear" w:color="auto" w:fill="auto"/>
            <w:noWrap/>
            <w:vAlign w:val="bottom"/>
            <w:hideMark/>
          </w:tcPr>
          <w:p w14:paraId="48665FE8" w14:textId="77777777" w:rsidR="00EE311F" w:rsidRPr="00382EB1" w:rsidRDefault="00EE311F" w:rsidP="00515E57">
            <w:pPr>
              <w:spacing w:after="0" w:line="240" w:lineRule="auto"/>
              <w:jc w:val="center"/>
              <w:rPr>
                <w:rFonts w:ascii="Calibri" w:eastAsia="Times New Roman" w:hAnsi="Calibri" w:cs="Calibri"/>
                <w:b/>
                <w:bCs/>
                <w:color w:val="000000"/>
                <w:lang w:eastAsia="en-GB"/>
              </w:rPr>
            </w:pPr>
            <w:r w:rsidRPr="00382EB1">
              <w:rPr>
                <w:rFonts w:ascii="Calibri" w:eastAsia="Times New Roman" w:hAnsi="Calibri" w:cs="Calibri"/>
                <w:b/>
                <w:bCs/>
                <w:color w:val="000000"/>
                <w:lang w:eastAsia="en-GB"/>
              </w:rPr>
              <w:t>241361</w:t>
            </w:r>
          </w:p>
        </w:tc>
        <w:tc>
          <w:tcPr>
            <w:tcW w:w="1040" w:type="dxa"/>
            <w:tcBorders>
              <w:top w:val="single" w:sz="4" w:space="0" w:color="auto"/>
              <w:left w:val="nil"/>
              <w:bottom w:val="single" w:sz="4" w:space="0" w:color="auto"/>
              <w:right w:val="nil"/>
            </w:tcBorders>
            <w:shd w:val="clear" w:color="auto" w:fill="auto"/>
            <w:noWrap/>
            <w:vAlign w:val="bottom"/>
            <w:hideMark/>
          </w:tcPr>
          <w:p w14:paraId="1A7A3521" w14:textId="77777777" w:rsidR="00EE311F" w:rsidRPr="00382EB1" w:rsidRDefault="00EE311F" w:rsidP="00515E57">
            <w:pPr>
              <w:spacing w:after="0" w:line="240" w:lineRule="auto"/>
              <w:jc w:val="center"/>
              <w:rPr>
                <w:rFonts w:ascii="Calibri" w:eastAsia="Times New Roman" w:hAnsi="Calibri" w:cs="Calibri"/>
                <w:b/>
                <w:bCs/>
                <w:color w:val="000000"/>
                <w:lang w:eastAsia="en-GB"/>
              </w:rPr>
            </w:pPr>
            <w:r w:rsidRPr="00382EB1">
              <w:rPr>
                <w:rFonts w:ascii="Calibri" w:eastAsia="Times New Roman" w:hAnsi="Calibri" w:cs="Calibri"/>
                <w:b/>
                <w:bCs/>
                <w:color w:val="000000"/>
                <w:lang w:eastAsia="en-GB"/>
              </w:rPr>
              <w:t>241361</w:t>
            </w:r>
          </w:p>
        </w:tc>
      </w:tr>
    </w:tbl>
    <w:p w14:paraId="7E7FB0D9" w14:textId="77777777" w:rsidR="00EE311F" w:rsidRDefault="00EE311F" w:rsidP="00EE311F">
      <w:pPr>
        <w:spacing w:line="240" w:lineRule="auto"/>
        <w:jc w:val="both"/>
        <w:rPr>
          <w:sz w:val="20"/>
          <w:szCs w:val="20"/>
        </w:rPr>
      </w:pPr>
      <w:r w:rsidRPr="009A4467">
        <w:rPr>
          <w:b/>
          <w:bCs/>
          <w:sz w:val="20"/>
          <w:szCs w:val="20"/>
        </w:rPr>
        <w:t>Notes:</w:t>
      </w:r>
      <w:r w:rsidRPr="009A4467">
        <w:rPr>
          <w:sz w:val="20"/>
          <w:szCs w:val="20"/>
        </w:rPr>
        <w:t xml:space="preserve"> Figures refer to odds ratio in comparison to children from high-achieving, disadvantaged, white boys. SE refers to the standard error. Sample restricted to high achieving (young people in the top Key Stage 2 quartile) in Cohorts B and C. Models control for Key Stage 1 and Key Stage 2 test scores, cohort and annual school absence rates during Year 7. Figures for “</w:t>
      </w:r>
      <w:r w:rsidRPr="009A4467">
        <w:rPr>
          <w:rFonts w:ascii="Calibri" w:eastAsia="Times New Roman" w:hAnsi="Calibri" w:cs="Calibri"/>
          <w:color w:val="000000"/>
          <w:sz w:val="20"/>
          <w:szCs w:val="20"/>
          <w:lang w:eastAsia="en-GB"/>
        </w:rPr>
        <w:t xml:space="preserve">Other ethnicity girl” in Year 7 suppressed due to small sample size. </w:t>
      </w:r>
      <w:r w:rsidRPr="009A4467">
        <w:rPr>
          <w:sz w:val="20"/>
          <w:szCs w:val="20"/>
        </w:rPr>
        <w:t xml:space="preserve">* indicates odds ratio significantly different from one at the 5% level. See Appendix </w:t>
      </w:r>
      <w:r>
        <w:rPr>
          <w:sz w:val="20"/>
          <w:szCs w:val="20"/>
        </w:rPr>
        <w:t>B</w:t>
      </w:r>
      <w:r w:rsidRPr="009A4467">
        <w:rPr>
          <w:sz w:val="20"/>
          <w:szCs w:val="20"/>
        </w:rPr>
        <w:t xml:space="preserve"> for further detailed results</w:t>
      </w:r>
    </w:p>
    <w:p w14:paraId="548722FC" w14:textId="4F8A0F74" w:rsidR="00B22505" w:rsidRDefault="00B22505" w:rsidP="00EE311F">
      <w:pPr>
        <w:spacing w:line="36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The </w:t>
      </w:r>
      <w:r w:rsidRPr="00B22505">
        <w:rPr>
          <w:rStyle w:val="Hyperlink"/>
          <w:rFonts w:ascii="Times New Roman" w:hAnsi="Times New Roman" w:cs="Times New Roman"/>
          <w:color w:val="000000" w:themeColor="text1"/>
          <w:sz w:val="24"/>
          <w:szCs w:val="24"/>
        </w:rPr>
        <w:t>absolute</w:t>
      </w:r>
      <w:r>
        <w:rPr>
          <w:rStyle w:val="Hyperlink"/>
          <w:rFonts w:ascii="Times New Roman" w:hAnsi="Times New Roman" w:cs="Times New Roman"/>
          <w:color w:val="000000" w:themeColor="text1"/>
          <w:sz w:val="24"/>
          <w:szCs w:val="24"/>
          <w:u w:val="none"/>
        </w:rPr>
        <w:t xml:space="preserve"> difference between socio-economic groups then increases through to Year 10 </w:t>
      </w:r>
      <w:r w:rsidR="0082120E">
        <w:rPr>
          <w:rStyle w:val="Hyperlink"/>
          <w:rFonts w:ascii="Times New Roman" w:hAnsi="Times New Roman" w:cs="Times New Roman"/>
          <w:color w:val="000000" w:themeColor="text1"/>
          <w:sz w:val="24"/>
          <w:szCs w:val="24"/>
          <w:u w:val="none"/>
        </w:rPr>
        <w:t>when it reaches</w:t>
      </w:r>
      <w:r>
        <w:rPr>
          <w:rStyle w:val="Hyperlink"/>
          <w:rFonts w:ascii="Times New Roman" w:hAnsi="Times New Roman" w:cs="Times New Roman"/>
          <w:color w:val="000000" w:themeColor="text1"/>
          <w:sz w:val="24"/>
          <w:szCs w:val="24"/>
          <w:u w:val="none"/>
        </w:rPr>
        <w:t xml:space="preserve"> 4.2 percentage points; 5.4% of high-achieving disadvantaged pupils receive a fixed exclusion during Year 10 versus 1.2% of their equally able but more socio-economically advantaged peers. In </w:t>
      </w:r>
      <w:r>
        <w:rPr>
          <w:rStyle w:val="Hyperlink"/>
          <w:rFonts w:ascii="Times New Roman" w:hAnsi="Times New Roman" w:cs="Times New Roman"/>
          <w:color w:val="000000" w:themeColor="text1"/>
          <w:sz w:val="24"/>
          <w:szCs w:val="24"/>
        </w:rPr>
        <w:t>relative</w:t>
      </w:r>
      <w:r>
        <w:rPr>
          <w:rStyle w:val="Hyperlink"/>
          <w:rFonts w:ascii="Times New Roman" w:hAnsi="Times New Roman" w:cs="Times New Roman"/>
          <w:color w:val="000000" w:themeColor="text1"/>
          <w:sz w:val="24"/>
          <w:szCs w:val="24"/>
          <w:u w:val="none"/>
        </w:rPr>
        <w:t xml:space="preserve"> terms, however, Table 2a suggests the socio-economic gap </w:t>
      </w:r>
      <w:r w:rsidR="0082120E">
        <w:rPr>
          <w:rStyle w:val="Hyperlink"/>
          <w:rFonts w:ascii="Times New Roman" w:hAnsi="Times New Roman" w:cs="Times New Roman"/>
          <w:color w:val="000000" w:themeColor="text1"/>
          <w:sz w:val="24"/>
          <w:szCs w:val="24"/>
          <w:u w:val="none"/>
        </w:rPr>
        <w:t>stays</w:t>
      </w:r>
      <w:r>
        <w:rPr>
          <w:rStyle w:val="Hyperlink"/>
          <w:rFonts w:ascii="Times New Roman" w:hAnsi="Times New Roman" w:cs="Times New Roman"/>
          <w:color w:val="000000" w:themeColor="text1"/>
          <w:sz w:val="24"/>
          <w:szCs w:val="24"/>
          <w:u w:val="none"/>
        </w:rPr>
        <w:t xml:space="preserve"> broadly </w:t>
      </w:r>
      <w:r w:rsidR="0082120E">
        <w:rPr>
          <w:rStyle w:val="Hyperlink"/>
          <w:rFonts w:ascii="Times New Roman" w:hAnsi="Times New Roman" w:cs="Times New Roman"/>
          <w:color w:val="000000" w:themeColor="text1"/>
          <w:sz w:val="24"/>
          <w:szCs w:val="24"/>
          <w:u w:val="none"/>
        </w:rPr>
        <w:t>the same</w:t>
      </w:r>
      <w:r>
        <w:rPr>
          <w:rStyle w:val="Hyperlink"/>
          <w:rFonts w:ascii="Times New Roman" w:hAnsi="Times New Roman" w:cs="Times New Roman"/>
          <w:color w:val="000000" w:themeColor="text1"/>
          <w:sz w:val="24"/>
          <w:szCs w:val="24"/>
          <w:u w:val="none"/>
        </w:rPr>
        <w:t xml:space="preserve"> (</w:t>
      </w:r>
      <w:r w:rsidR="0082120E">
        <w:rPr>
          <w:rStyle w:val="Hyperlink"/>
          <w:rFonts w:ascii="Times New Roman" w:hAnsi="Times New Roman" w:cs="Times New Roman"/>
          <w:color w:val="000000" w:themeColor="text1"/>
          <w:sz w:val="24"/>
          <w:szCs w:val="24"/>
          <w:u w:val="none"/>
        </w:rPr>
        <w:t xml:space="preserve">the </w:t>
      </w:r>
      <w:r>
        <w:rPr>
          <w:rStyle w:val="Hyperlink"/>
          <w:rFonts w:ascii="Times New Roman" w:hAnsi="Times New Roman" w:cs="Times New Roman"/>
          <w:color w:val="000000" w:themeColor="text1"/>
          <w:sz w:val="24"/>
          <w:szCs w:val="24"/>
          <w:u w:val="none"/>
        </w:rPr>
        <w:t>odds ratio</w:t>
      </w:r>
      <w:r w:rsidR="0082120E">
        <w:rPr>
          <w:rStyle w:val="Hyperlink"/>
          <w:rFonts w:ascii="Times New Roman" w:hAnsi="Times New Roman" w:cs="Times New Roman"/>
          <w:color w:val="000000" w:themeColor="text1"/>
          <w:sz w:val="24"/>
          <w:szCs w:val="24"/>
          <w:u w:val="none"/>
        </w:rPr>
        <w:t xml:space="preserve"> equals 0.16</w:t>
      </w:r>
      <w:r>
        <w:rPr>
          <w:rStyle w:val="Hyperlink"/>
          <w:rFonts w:ascii="Times New Roman" w:hAnsi="Times New Roman" w:cs="Times New Roman"/>
          <w:color w:val="000000" w:themeColor="text1"/>
          <w:sz w:val="24"/>
          <w:szCs w:val="24"/>
          <w:u w:val="none"/>
        </w:rPr>
        <w:t xml:space="preserve"> in Year 7 versus 0.19 in Year 10). Appendix G (Table G2) indicates that Kelley’s paradox is only partially able to explain these results. Even when one assumes the measurement</w:t>
      </w:r>
      <w:r w:rsidR="00805D90">
        <w:rPr>
          <w:rStyle w:val="Hyperlink"/>
          <w:rFonts w:ascii="Times New Roman" w:hAnsi="Times New Roman" w:cs="Times New Roman"/>
          <w:color w:val="000000" w:themeColor="text1"/>
          <w:sz w:val="24"/>
          <w:szCs w:val="24"/>
          <w:u w:val="none"/>
        </w:rPr>
        <w:t xml:space="preserve"> error in the Key Stage 2 tests is quite substantial (i.e. that around half the variation in the Key Stage 2 scores can be attributed to measurement error) the </w:t>
      </w:r>
      <w:r w:rsidR="00805D90">
        <w:rPr>
          <w:rStyle w:val="Hyperlink"/>
          <w:rFonts w:ascii="Times New Roman" w:hAnsi="Times New Roman" w:cs="Times New Roman"/>
          <w:color w:val="000000" w:themeColor="text1"/>
          <w:sz w:val="24"/>
          <w:szCs w:val="24"/>
          <w:u w:val="none"/>
        </w:rPr>
        <w:lastRenderedPageBreak/>
        <w:t>socio-economic gap in fixed-term exclusions amongst high-achievers remains at 0.5 percentage points in Year 7 and 2.4 percentage points in Year 10.</w:t>
      </w:r>
    </w:p>
    <w:p w14:paraId="2FBD28A2" w14:textId="706A4872" w:rsidR="002D76ED" w:rsidRDefault="007E4959" w:rsidP="007E4959">
      <w:pPr>
        <w:spacing w:line="36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Further detail to these results </w:t>
      </w:r>
      <w:r w:rsidR="0082120E">
        <w:rPr>
          <w:rStyle w:val="Hyperlink"/>
          <w:rFonts w:ascii="Times New Roman" w:hAnsi="Times New Roman" w:cs="Times New Roman"/>
          <w:color w:val="000000" w:themeColor="text1"/>
          <w:sz w:val="24"/>
          <w:szCs w:val="24"/>
          <w:u w:val="none"/>
        </w:rPr>
        <w:t>is</w:t>
      </w:r>
      <w:r>
        <w:rPr>
          <w:rStyle w:val="Hyperlink"/>
          <w:rFonts w:ascii="Times New Roman" w:hAnsi="Times New Roman" w:cs="Times New Roman"/>
          <w:color w:val="000000" w:themeColor="text1"/>
          <w:sz w:val="24"/>
          <w:szCs w:val="24"/>
          <w:u w:val="none"/>
        </w:rPr>
        <w:t xml:space="preserve"> provided in Figure 4 and Table 2b, where the sample has been restricted to high-achieving young people from disadvantaged backgrounds, and we explore differences across genders and ethnicities.</w:t>
      </w:r>
    </w:p>
    <w:p w14:paraId="56B387AC" w14:textId="28829F74" w:rsidR="00EE311F" w:rsidRDefault="007E4959" w:rsidP="00805D90">
      <w:pPr>
        <w:spacing w:line="36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The</w:t>
      </w:r>
      <w:r w:rsidR="00DD6AF6">
        <w:rPr>
          <w:rStyle w:val="Hyperlink"/>
          <w:rFonts w:ascii="Times New Roman" w:hAnsi="Times New Roman" w:cs="Times New Roman"/>
          <w:color w:val="000000" w:themeColor="text1"/>
          <w:sz w:val="24"/>
          <w:szCs w:val="24"/>
          <w:u w:val="none"/>
        </w:rPr>
        <w:t xml:space="preserve"> first point to note is that fixed-term exclusions are much higher amongst high achieving disadvantaged young people from Black and Mixed-race backgrounds than their peers of White and Asian ethnicity. For </w:t>
      </w:r>
      <w:r w:rsidR="002D6850">
        <w:rPr>
          <w:rStyle w:val="Hyperlink"/>
          <w:rFonts w:ascii="Times New Roman" w:hAnsi="Times New Roman" w:cs="Times New Roman"/>
          <w:color w:val="000000" w:themeColor="text1"/>
          <w:sz w:val="24"/>
          <w:szCs w:val="24"/>
          <w:u w:val="none"/>
        </w:rPr>
        <w:t xml:space="preserve">boys in Year 10, around 10% of the former receive at least one fixed-term exclusion, compared to 6% to 7% amongst the latter. It is also notable how fixed-term exclusions are much more prevalent amongst boys than girls </w:t>
      </w:r>
      <w:r w:rsidR="00705026">
        <w:rPr>
          <w:rStyle w:val="Hyperlink"/>
          <w:rFonts w:ascii="Times New Roman" w:hAnsi="Times New Roman" w:cs="Times New Roman"/>
          <w:color w:val="000000" w:themeColor="text1"/>
          <w:sz w:val="24"/>
          <w:szCs w:val="24"/>
          <w:u w:val="none"/>
        </w:rPr>
        <w:t>within this high-achieving, socio-economically</w:t>
      </w:r>
      <w:r w:rsidR="002D6850">
        <w:rPr>
          <w:rStyle w:val="Hyperlink"/>
          <w:rFonts w:ascii="Times New Roman" w:hAnsi="Times New Roman" w:cs="Times New Roman"/>
          <w:color w:val="000000" w:themeColor="text1"/>
          <w:sz w:val="24"/>
          <w:szCs w:val="24"/>
          <w:u w:val="none"/>
        </w:rPr>
        <w:t xml:space="preserve"> disadvantaged </w:t>
      </w:r>
      <w:r w:rsidR="00705026">
        <w:rPr>
          <w:rStyle w:val="Hyperlink"/>
          <w:rFonts w:ascii="Times New Roman" w:hAnsi="Times New Roman" w:cs="Times New Roman"/>
          <w:color w:val="000000" w:themeColor="text1"/>
          <w:sz w:val="24"/>
          <w:szCs w:val="24"/>
          <w:u w:val="none"/>
        </w:rPr>
        <w:t>sample</w:t>
      </w:r>
      <w:r w:rsidR="002D6850">
        <w:rPr>
          <w:rStyle w:val="Hyperlink"/>
          <w:rFonts w:ascii="Times New Roman" w:hAnsi="Times New Roman" w:cs="Times New Roman"/>
          <w:color w:val="000000" w:themeColor="text1"/>
          <w:sz w:val="24"/>
          <w:szCs w:val="24"/>
          <w:u w:val="none"/>
        </w:rPr>
        <w:t>. Indeed, fixed-term exclusions</w:t>
      </w:r>
      <w:r w:rsidR="00705026">
        <w:rPr>
          <w:rStyle w:val="Hyperlink"/>
          <w:rFonts w:ascii="Times New Roman" w:hAnsi="Times New Roman" w:cs="Times New Roman"/>
          <w:color w:val="000000" w:themeColor="text1"/>
          <w:sz w:val="24"/>
          <w:szCs w:val="24"/>
          <w:u w:val="none"/>
        </w:rPr>
        <w:t xml:space="preserve"> for</w:t>
      </w:r>
      <w:r w:rsidR="002D6850">
        <w:rPr>
          <w:rStyle w:val="Hyperlink"/>
          <w:rFonts w:ascii="Times New Roman" w:hAnsi="Times New Roman" w:cs="Times New Roman"/>
          <w:color w:val="000000" w:themeColor="text1"/>
          <w:sz w:val="24"/>
          <w:szCs w:val="24"/>
          <w:u w:val="none"/>
        </w:rPr>
        <w:t xml:space="preserve"> the group of girls with the </w:t>
      </w:r>
      <w:r w:rsidR="002D6850">
        <w:rPr>
          <w:rStyle w:val="Hyperlink"/>
          <w:rFonts w:ascii="Times New Roman" w:hAnsi="Times New Roman" w:cs="Times New Roman"/>
          <w:color w:val="000000" w:themeColor="text1"/>
          <w:sz w:val="24"/>
          <w:szCs w:val="24"/>
        </w:rPr>
        <w:t>highest</w:t>
      </w:r>
      <w:r w:rsidR="002D6850">
        <w:rPr>
          <w:rStyle w:val="Hyperlink"/>
          <w:rFonts w:ascii="Times New Roman" w:hAnsi="Times New Roman" w:cs="Times New Roman"/>
          <w:color w:val="000000" w:themeColor="text1"/>
          <w:sz w:val="24"/>
          <w:szCs w:val="24"/>
          <w:u w:val="none"/>
        </w:rPr>
        <w:t xml:space="preserve"> exclusion rate (Mixed) is equal to that of the group of boys with the </w:t>
      </w:r>
      <w:r w:rsidR="002D6850">
        <w:rPr>
          <w:rStyle w:val="Hyperlink"/>
          <w:rFonts w:ascii="Times New Roman" w:hAnsi="Times New Roman" w:cs="Times New Roman"/>
          <w:color w:val="000000" w:themeColor="text1"/>
          <w:sz w:val="24"/>
          <w:szCs w:val="24"/>
        </w:rPr>
        <w:t>lowest</w:t>
      </w:r>
      <w:r w:rsidR="002D6850">
        <w:rPr>
          <w:rStyle w:val="Hyperlink"/>
          <w:rFonts w:ascii="Times New Roman" w:hAnsi="Times New Roman" w:cs="Times New Roman"/>
          <w:color w:val="000000" w:themeColor="text1"/>
          <w:sz w:val="24"/>
          <w:szCs w:val="24"/>
          <w:u w:val="none"/>
        </w:rPr>
        <w:t xml:space="preserve"> exclusion rate (Asian). The logistic regression results presented in Table 2b further emphasise these findings, with the odds ratio sitting significantly above one for only Black and Mixed-race boys (indicating that their exclusion rate is higher than for</w:t>
      </w:r>
      <w:r w:rsidR="00705026">
        <w:rPr>
          <w:rStyle w:val="Hyperlink"/>
          <w:rFonts w:ascii="Times New Roman" w:hAnsi="Times New Roman" w:cs="Times New Roman"/>
          <w:color w:val="000000" w:themeColor="text1"/>
          <w:sz w:val="24"/>
          <w:szCs w:val="24"/>
          <w:u w:val="none"/>
        </w:rPr>
        <w:t xml:space="preserve"> high achieving, disadvantaged</w:t>
      </w:r>
      <w:r w:rsidR="002D6850">
        <w:rPr>
          <w:rStyle w:val="Hyperlink"/>
          <w:rFonts w:ascii="Times New Roman" w:hAnsi="Times New Roman" w:cs="Times New Roman"/>
          <w:color w:val="000000" w:themeColor="text1"/>
          <w:sz w:val="24"/>
          <w:szCs w:val="24"/>
          <w:u w:val="none"/>
        </w:rPr>
        <w:t xml:space="preserve"> White boys). Likewise, it is only White and Asian girls where the odds ratio is consistently below one</w:t>
      </w:r>
      <w:r w:rsidR="00705026">
        <w:rPr>
          <w:rStyle w:val="Hyperlink"/>
          <w:rFonts w:ascii="Times New Roman" w:hAnsi="Times New Roman" w:cs="Times New Roman"/>
          <w:color w:val="000000" w:themeColor="text1"/>
          <w:sz w:val="24"/>
          <w:szCs w:val="24"/>
          <w:u w:val="none"/>
        </w:rPr>
        <w:t xml:space="preserve"> and statistically significant</w:t>
      </w:r>
      <w:r w:rsidR="002D6850">
        <w:rPr>
          <w:rStyle w:val="Hyperlink"/>
          <w:rFonts w:ascii="Times New Roman" w:hAnsi="Times New Roman" w:cs="Times New Roman"/>
          <w:color w:val="000000" w:themeColor="text1"/>
          <w:sz w:val="24"/>
          <w:szCs w:val="24"/>
          <w:u w:val="none"/>
        </w:rPr>
        <w:t xml:space="preserve"> at the 5% level. Thus, together, these results illustrate how there are important intersections between socio-economic status, ethnicity and gender amongst initially high-achieving pupils in terms of school exclusio</w:t>
      </w:r>
      <w:r w:rsidR="008E1C89">
        <w:rPr>
          <w:rStyle w:val="Hyperlink"/>
          <w:rFonts w:ascii="Times New Roman" w:hAnsi="Times New Roman" w:cs="Times New Roman"/>
          <w:color w:val="000000" w:themeColor="text1"/>
          <w:sz w:val="24"/>
          <w:szCs w:val="24"/>
          <w:u w:val="none"/>
        </w:rPr>
        <w:t xml:space="preserve">ns. </w:t>
      </w:r>
    </w:p>
    <w:p w14:paraId="73360D51" w14:textId="77777777" w:rsidR="00EE311F" w:rsidRDefault="00EE311F" w:rsidP="00EE311F">
      <w:pPr>
        <w:sectPr w:rsidR="00EE311F" w:rsidSect="00EE311F">
          <w:pgSz w:w="11906" w:h="16838"/>
          <w:pgMar w:top="1440" w:right="1440" w:bottom="1440" w:left="1440" w:header="708" w:footer="708" w:gutter="0"/>
          <w:cols w:space="708"/>
          <w:docGrid w:linePitch="360"/>
        </w:sectPr>
      </w:pPr>
    </w:p>
    <w:p w14:paraId="7BA9C2C6" w14:textId="77777777" w:rsidR="00EE311F" w:rsidRDefault="00EE311F" w:rsidP="00EE311F">
      <w:pPr>
        <w:spacing w:after="0"/>
        <w:jc w:val="center"/>
        <w:rPr>
          <w:b/>
          <w:bCs/>
        </w:rPr>
      </w:pPr>
      <w:r>
        <w:rPr>
          <w:b/>
          <w:bCs/>
        </w:rPr>
        <w:lastRenderedPageBreak/>
        <w:t>Figure 4.  Fixed exclusion rates amongst high-achieving disadvantaged children. Results by gender and ethnicity.</w:t>
      </w:r>
    </w:p>
    <w:p w14:paraId="3AA22AEE" w14:textId="77777777" w:rsidR="00EE311F" w:rsidRPr="004E22BA" w:rsidRDefault="00EE311F" w:rsidP="00EE311F">
      <w:pPr>
        <w:pStyle w:val="ListParagraph"/>
        <w:numPr>
          <w:ilvl w:val="0"/>
          <w:numId w:val="9"/>
        </w:numPr>
        <w:spacing w:after="0"/>
      </w:pPr>
      <w:r w:rsidRPr="004E22BA">
        <w:t>Boys</w:t>
      </w:r>
      <w:r w:rsidRPr="004E22BA">
        <w:tab/>
      </w:r>
      <w:r w:rsidRPr="004E22BA">
        <w:tab/>
      </w:r>
      <w:r w:rsidRPr="004E22BA">
        <w:tab/>
      </w:r>
      <w:r w:rsidRPr="004E22BA">
        <w:tab/>
      </w:r>
      <w:r w:rsidRPr="004E22BA">
        <w:tab/>
      </w:r>
      <w:r w:rsidRPr="004E22BA">
        <w:tab/>
      </w:r>
      <w:r w:rsidRPr="004E22BA">
        <w:tab/>
      </w:r>
      <w:r w:rsidRPr="004E22BA">
        <w:tab/>
      </w:r>
      <w:r w:rsidRPr="004E22BA">
        <w:tab/>
      </w:r>
      <w:r>
        <w:t xml:space="preserve"> </w:t>
      </w:r>
      <w:r w:rsidRPr="004E22BA">
        <w:t>(b) Girls</w:t>
      </w:r>
    </w:p>
    <w:p w14:paraId="7A55AFD1" w14:textId="77777777" w:rsidR="00EE311F" w:rsidRDefault="00EE311F" w:rsidP="00EE311F">
      <w:pPr>
        <w:rPr>
          <w:noProof/>
        </w:rPr>
      </w:pPr>
      <w:r>
        <w:rPr>
          <w:noProof/>
        </w:rPr>
        <w:drawing>
          <wp:inline distT="0" distB="0" distL="0" distR="0" wp14:anchorId="43549FCB" wp14:editId="6F6F6929">
            <wp:extent cx="4916031" cy="4535786"/>
            <wp:effectExtent l="0" t="0" r="0" b="0"/>
            <wp:docPr id="238812064" name="Chart 238812064">
              <a:extLst xmlns:a="http://schemas.openxmlformats.org/drawingml/2006/main">
                <a:ext uri="{FF2B5EF4-FFF2-40B4-BE49-F238E27FC236}">
                  <a16:creationId xmlns:a16="http://schemas.microsoft.com/office/drawing/2014/main" id="{0510A033-0F04-467B-9B8A-6DAFBF3EC6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4E22BA">
        <w:rPr>
          <w:noProof/>
        </w:rPr>
        <w:t xml:space="preserve"> </w:t>
      </w:r>
      <w:r>
        <w:rPr>
          <w:noProof/>
        </w:rPr>
        <w:drawing>
          <wp:inline distT="0" distB="0" distL="0" distR="0" wp14:anchorId="5ED329D1" wp14:editId="3DAD42E4">
            <wp:extent cx="4753069" cy="4549650"/>
            <wp:effectExtent l="0" t="0" r="0" b="3810"/>
            <wp:docPr id="266431217" name="Chart 266431217">
              <a:extLst xmlns:a="http://schemas.openxmlformats.org/drawingml/2006/main">
                <a:ext uri="{FF2B5EF4-FFF2-40B4-BE49-F238E27FC236}">
                  <a16:creationId xmlns:a16="http://schemas.microsoft.com/office/drawing/2014/main" id="{C57BA835-07B0-445D-AF77-41D7F740B9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446F071" w14:textId="77777777" w:rsidR="00EE311F" w:rsidRDefault="00EE311F" w:rsidP="00EE311F">
      <w:pPr>
        <w:rPr>
          <w:noProof/>
        </w:rPr>
      </w:pPr>
      <w:r>
        <w:t>Notes: Figures refer to the percent of pupils receiving a fixed-term exclusion during secondary school. Data pooled across the three cohorts. See Appendix B for further detailed results.</w:t>
      </w:r>
    </w:p>
    <w:p w14:paraId="70830147" w14:textId="77777777" w:rsidR="00EE311F" w:rsidRDefault="00EE311F" w:rsidP="00EE311F">
      <w:pPr>
        <w:rPr>
          <w:noProof/>
        </w:rPr>
      </w:pPr>
    </w:p>
    <w:p w14:paraId="6CD50603" w14:textId="77777777" w:rsidR="00EE311F" w:rsidRDefault="00EE311F" w:rsidP="00EE311F">
      <w:pPr>
        <w:rPr>
          <w:noProof/>
        </w:rPr>
      </w:pPr>
    </w:p>
    <w:p w14:paraId="1BAD5379" w14:textId="77777777" w:rsidR="00EE311F" w:rsidRDefault="00EE311F" w:rsidP="00805D90">
      <w:pPr>
        <w:spacing w:line="360" w:lineRule="auto"/>
        <w:jc w:val="both"/>
        <w:rPr>
          <w:rStyle w:val="Hyperlink"/>
          <w:rFonts w:ascii="Times New Roman" w:hAnsi="Times New Roman" w:cs="Times New Roman"/>
          <w:color w:val="000000" w:themeColor="text1"/>
          <w:sz w:val="24"/>
          <w:szCs w:val="24"/>
          <w:u w:val="none"/>
        </w:rPr>
        <w:sectPr w:rsidR="00EE311F" w:rsidSect="00EE311F">
          <w:pgSz w:w="16838" w:h="11906" w:orient="landscape"/>
          <w:pgMar w:top="720" w:right="720" w:bottom="720" w:left="720" w:header="708" w:footer="708" w:gutter="0"/>
          <w:cols w:space="708"/>
          <w:docGrid w:linePitch="360"/>
        </w:sectPr>
      </w:pPr>
    </w:p>
    <w:p w14:paraId="3A558CCA" w14:textId="2B68E6CD" w:rsidR="002D76ED" w:rsidRPr="0081090C" w:rsidRDefault="002D76ED" w:rsidP="002D76ED">
      <w:pPr>
        <w:rPr>
          <w:rStyle w:val="Hyperlink"/>
          <w:rFonts w:ascii="Times New Roman" w:hAnsi="Times New Roman" w:cs="Times New Roman"/>
          <w:color w:val="000000" w:themeColor="text1"/>
          <w:sz w:val="24"/>
          <w:szCs w:val="24"/>
        </w:rPr>
      </w:pPr>
      <w:r w:rsidRPr="0081090C">
        <w:rPr>
          <w:rStyle w:val="Hyperlink"/>
          <w:rFonts w:ascii="Times New Roman" w:hAnsi="Times New Roman" w:cs="Times New Roman"/>
          <w:color w:val="000000" w:themeColor="text1"/>
          <w:sz w:val="24"/>
          <w:szCs w:val="24"/>
        </w:rPr>
        <w:lastRenderedPageBreak/>
        <w:t xml:space="preserve">Research question 3. </w:t>
      </w:r>
      <w:r w:rsidR="00C6195A">
        <w:rPr>
          <w:rStyle w:val="Hyperlink"/>
          <w:rFonts w:ascii="Times New Roman" w:hAnsi="Times New Roman" w:cs="Times New Roman"/>
          <w:color w:val="000000" w:themeColor="text1"/>
          <w:sz w:val="24"/>
          <w:szCs w:val="24"/>
        </w:rPr>
        <w:t>Criminal cautions/sentences</w:t>
      </w:r>
      <w:r w:rsidRPr="0081090C">
        <w:rPr>
          <w:rStyle w:val="Hyperlink"/>
          <w:rFonts w:ascii="Times New Roman" w:hAnsi="Times New Roman" w:cs="Times New Roman"/>
          <w:color w:val="000000" w:themeColor="text1"/>
          <w:sz w:val="24"/>
          <w:szCs w:val="24"/>
        </w:rPr>
        <w:t>.</w:t>
      </w:r>
    </w:p>
    <w:p w14:paraId="5D8179B6" w14:textId="7557A9D0" w:rsidR="002D76ED" w:rsidRDefault="00A464D2" w:rsidP="00A464D2">
      <w:pPr>
        <w:spacing w:line="36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Figure 5 turns to the socio-economic gap amongst early </w:t>
      </w:r>
      <w:r w:rsidR="00DC2DE2">
        <w:rPr>
          <w:rStyle w:val="Hyperlink"/>
          <w:rFonts w:ascii="Times New Roman" w:hAnsi="Times New Roman" w:cs="Times New Roman"/>
          <w:color w:val="000000" w:themeColor="text1"/>
          <w:sz w:val="24"/>
          <w:szCs w:val="24"/>
          <w:u w:val="none"/>
        </w:rPr>
        <w:t>high achievers</w:t>
      </w:r>
      <w:r>
        <w:rPr>
          <w:rStyle w:val="Hyperlink"/>
          <w:rFonts w:ascii="Times New Roman" w:hAnsi="Times New Roman" w:cs="Times New Roman"/>
          <w:color w:val="000000" w:themeColor="text1"/>
          <w:sz w:val="24"/>
          <w:szCs w:val="24"/>
          <w:u w:val="none"/>
        </w:rPr>
        <w:t xml:space="preserve"> in the chances they receive a criminal caution or sentence between the ages of 11 and 30. </w:t>
      </w:r>
      <w:r w:rsidR="00DC2DE2">
        <w:rPr>
          <w:rStyle w:val="Hyperlink"/>
          <w:rFonts w:ascii="Times New Roman" w:hAnsi="Times New Roman" w:cs="Times New Roman"/>
          <w:color w:val="000000" w:themeColor="text1"/>
          <w:sz w:val="24"/>
          <w:szCs w:val="24"/>
          <w:u w:val="none"/>
        </w:rPr>
        <w:t xml:space="preserve">This is </w:t>
      </w:r>
      <w:r w:rsidR="008F7143">
        <w:rPr>
          <w:rStyle w:val="Hyperlink"/>
          <w:rFonts w:ascii="Times New Roman" w:hAnsi="Times New Roman" w:cs="Times New Roman"/>
          <w:color w:val="000000" w:themeColor="text1"/>
          <w:sz w:val="24"/>
          <w:szCs w:val="24"/>
          <w:u w:val="none"/>
        </w:rPr>
        <w:t>supplemented by Appendix C, where we present results separately by cohort, along with estimates from a series of logistic regression models (which produce qualitatively similar results). Appendix D, E and F also provide additional results, where we focus on the chances of a high-achieving young person being cautioned or sentenced for three specific types of crime (drugs, violent crime, theft).</w:t>
      </w:r>
    </w:p>
    <w:p w14:paraId="16194309" w14:textId="77777777" w:rsidR="00EE311F" w:rsidRPr="004314AA" w:rsidRDefault="00EE311F" w:rsidP="00EE311F">
      <w:pPr>
        <w:jc w:val="center"/>
        <w:rPr>
          <w:b/>
          <w:bCs/>
        </w:rPr>
      </w:pPr>
      <w:r w:rsidRPr="004314AA">
        <w:rPr>
          <w:b/>
          <w:bCs/>
        </w:rPr>
        <w:t xml:space="preserve">Figure </w:t>
      </w:r>
      <w:r>
        <w:rPr>
          <w:b/>
          <w:bCs/>
        </w:rPr>
        <w:t>5</w:t>
      </w:r>
      <w:r w:rsidRPr="004314AA">
        <w:rPr>
          <w:b/>
          <w:bCs/>
        </w:rPr>
        <w:t xml:space="preserve">. The percent of high-achieving children being </w:t>
      </w:r>
      <w:r>
        <w:rPr>
          <w:b/>
          <w:bCs/>
        </w:rPr>
        <w:t>cautioned/sentenced</w:t>
      </w:r>
      <w:r w:rsidRPr="004314AA">
        <w:rPr>
          <w:b/>
          <w:bCs/>
        </w:rPr>
        <w:t xml:space="preserve"> at least once by age</w:t>
      </w:r>
    </w:p>
    <w:p w14:paraId="622D5B34" w14:textId="77777777" w:rsidR="00EE311F" w:rsidRDefault="00EE311F" w:rsidP="00EE311F">
      <w:pPr>
        <w:spacing w:after="0"/>
        <w:jc w:val="center"/>
      </w:pPr>
      <w:r>
        <w:rPr>
          <w:noProof/>
        </w:rPr>
        <w:drawing>
          <wp:inline distT="0" distB="0" distL="0" distR="0" wp14:anchorId="7941B94D" wp14:editId="236C779E">
            <wp:extent cx="6106602" cy="3967701"/>
            <wp:effectExtent l="0" t="0" r="8890" b="0"/>
            <wp:docPr id="707672690" name="Chart 707672690">
              <a:extLst xmlns:a="http://schemas.openxmlformats.org/drawingml/2006/main">
                <a:ext uri="{FF2B5EF4-FFF2-40B4-BE49-F238E27FC236}">
                  <a16:creationId xmlns:a16="http://schemas.microsoft.com/office/drawing/2014/main" id="{92446FEF-B224-41A3-A262-E96F5D2CF4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EF85623" w14:textId="204176A2" w:rsidR="00EE311F" w:rsidRPr="00EE311F" w:rsidRDefault="00EE311F" w:rsidP="00EE311F">
      <w:pPr>
        <w:spacing w:after="0"/>
        <w:rPr>
          <w:rStyle w:val="Hyperlink"/>
          <w:color w:val="auto"/>
          <w:sz w:val="20"/>
          <w:szCs w:val="20"/>
          <w:u w:val="none"/>
        </w:rPr>
      </w:pPr>
      <w:r w:rsidRPr="00EE311F">
        <w:rPr>
          <w:sz w:val="20"/>
          <w:szCs w:val="20"/>
        </w:rPr>
        <w:t>Notes: Figures refer to the percentage of individuals receiving a caution or sentence by age. Data pooled across cohorts. See Appendix C for further details.</w:t>
      </w:r>
    </w:p>
    <w:p w14:paraId="33FC4576" w14:textId="4699A268" w:rsidR="008F7143" w:rsidRDefault="008F7143" w:rsidP="00A464D2">
      <w:pPr>
        <w:spacing w:line="36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While a difference can already be observed at age 11, the socio-economic gap in criminal cautions/sentences start to rapidly grow after age 12, before peaking around age 16. At this point, there is a five-fold difference in the rate that high-achieving advantaged and disadvantaged young people receive criminal cautions/sentences</w:t>
      </w:r>
      <w:r w:rsidR="006438E8">
        <w:rPr>
          <w:rStyle w:val="Hyperlink"/>
          <w:rFonts w:ascii="Times New Roman" w:hAnsi="Times New Roman" w:cs="Times New Roman"/>
          <w:color w:val="000000" w:themeColor="text1"/>
          <w:sz w:val="24"/>
          <w:szCs w:val="24"/>
          <w:u w:val="none"/>
        </w:rPr>
        <w:t xml:space="preserve"> – standing at 2.5% amongst the highest socio-economic group versus 0.5% for the bottom socio-economic group. The percentage receiving a criminal caution/sentence then declines – particularly amongst the most disadvantaged socio-economic group – in the late teenage years and into their early 20s. </w:t>
      </w:r>
      <w:r w:rsidR="006438E8">
        <w:rPr>
          <w:rStyle w:val="Hyperlink"/>
          <w:rFonts w:ascii="Times New Roman" w:hAnsi="Times New Roman" w:cs="Times New Roman"/>
          <w:color w:val="000000" w:themeColor="text1"/>
          <w:sz w:val="24"/>
          <w:szCs w:val="24"/>
          <w:u w:val="none"/>
        </w:rPr>
        <w:lastRenderedPageBreak/>
        <w:t>Appendix G (Figure G4) illustrates how the measurement error in Key Stage 2 scores would have to be substantial (i.e. for measurement error to account for 75% of the variation in the Key Stage 2 scores) for Kelley’s paradox to fully account for the socio-economic gap observed in these results.</w:t>
      </w:r>
    </w:p>
    <w:p w14:paraId="441064E2" w14:textId="43FB0A98" w:rsidR="00EE311F" w:rsidRDefault="006438E8" w:rsidP="0010086B">
      <w:pPr>
        <w:spacing w:line="36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Figure 6</w:t>
      </w:r>
      <w:r w:rsidR="00087C1B">
        <w:rPr>
          <w:rStyle w:val="Hyperlink"/>
          <w:rFonts w:ascii="Times New Roman" w:hAnsi="Times New Roman" w:cs="Times New Roman"/>
          <w:color w:val="000000" w:themeColor="text1"/>
          <w:sz w:val="24"/>
          <w:szCs w:val="24"/>
          <w:u w:val="none"/>
        </w:rPr>
        <w:t xml:space="preserve"> then turns to results for high-achieving disadvantaged young people of different genders and ethnicities (where sample size allows). Note that we now only consider the period between ages 13 and 25 to meet sample size requirements to comply with statistical disclosure control. </w:t>
      </w:r>
    </w:p>
    <w:p w14:paraId="33AE1BA9" w14:textId="77777777" w:rsidR="00EE311F" w:rsidRPr="00E76652" w:rsidRDefault="00EE311F" w:rsidP="00EE311F">
      <w:pPr>
        <w:jc w:val="center"/>
        <w:rPr>
          <w:b/>
          <w:bCs/>
        </w:rPr>
      </w:pPr>
      <w:r w:rsidRPr="004314AA">
        <w:rPr>
          <w:b/>
          <w:bCs/>
        </w:rPr>
        <w:t xml:space="preserve">Figure </w:t>
      </w:r>
      <w:r>
        <w:rPr>
          <w:b/>
          <w:bCs/>
        </w:rPr>
        <w:t>6</w:t>
      </w:r>
      <w:r w:rsidRPr="004314AA">
        <w:rPr>
          <w:b/>
          <w:bCs/>
        </w:rPr>
        <w:t xml:space="preserve">. The percent of high-achieving children being </w:t>
      </w:r>
      <w:r>
        <w:rPr>
          <w:b/>
          <w:bCs/>
        </w:rPr>
        <w:t>cautioned/sentenced</w:t>
      </w:r>
      <w:r w:rsidRPr="004314AA">
        <w:rPr>
          <w:b/>
          <w:bCs/>
        </w:rPr>
        <w:t xml:space="preserve"> at least once by age</w:t>
      </w:r>
      <w:r>
        <w:rPr>
          <w:b/>
          <w:bCs/>
        </w:rPr>
        <w:t>. Differences by age and ethnicity.</w:t>
      </w:r>
    </w:p>
    <w:p w14:paraId="3967E0CF" w14:textId="77777777" w:rsidR="00EE311F" w:rsidRPr="00EE311F" w:rsidRDefault="00EE311F" w:rsidP="00EE311F">
      <w:pPr>
        <w:spacing w:after="0" w:line="240" w:lineRule="auto"/>
        <w:jc w:val="center"/>
        <w:rPr>
          <w:sz w:val="20"/>
          <w:szCs w:val="20"/>
        </w:rPr>
      </w:pPr>
      <w:r w:rsidRPr="00EE311F">
        <w:rPr>
          <w:noProof/>
          <w:sz w:val="20"/>
          <w:szCs w:val="20"/>
        </w:rPr>
        <w:drawing>
          <wp:inline distT="0" distB="0" distL="0" distR="0" wp14:anchorId="61CA8000" wp14:editId="63A7C234">
            <wp:extent cx="6120130" cy="5335325"/>
            <wp:effectExtent l="0" t="0" r="0" b="0"/>
            <wp:docPr id="1267936492" name="Chart 1267936492">
              <a:extLst xmlns:a="http://schemas.openxmlformats.org/drawingml/2006/main">
                <a:ext uri="{FF2B5EF4-FFF2-40B4-BE49-F238E27FC236}">
                  <a16:creationId xmlns:a16="http://schemas.microsoft.com/office/drawing/2014/main" id="{02A275FE-8156-4B5E-B814-CBF74E6D34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1284ACD" w14:textId="77777777" w:rsidR="00EE311F" w:rsidRPr="00EE311F" w:rsidRDefault="00EE311F" w:rsidP="00EE311F">
      <w:pPr>
        <w:spacing w:after="0" w:line="240" w:lineRule="auto"/>
        <w:jc w:val="both"/>
        <w:rPr>
          <w:sz w:val="20"/>
          <w:szCs w:val="20"/>
        </w:rPr>
      </w:pPr>
      <w:r w:rsidRPr="00EE311F">
        <w:rPr>
          <w:sz w:val="20"/>
          <w:szCs w:val="20"/>
        </w:rPr>
        <w:t>Notes: Figures refer to the percentage of individuals receiving a caution or sentence by age. Data pooled across cohorts. See Appendix C for further details. Results for Asian girls cannot be reported due to the insufficient sample size for this group.</w:t>
      </w:r>
    </w:p>
    <w:p w14:paraId="6A9D6810" w14:textId="77777777" w:rsidR="00EE311F" w:rsidRPr="00EE311F" w:rsidRDefault="00EE311F" w:rsidP="0010086B">
      <w:pPr>
        <w:spacing w:line="360" w:lineRule="auto"/>
        <w:jc w:val="both"/>
        <w:rPr>
          <w:rStyle w:val="Hyperlink"/>
          <w:rFonts w:ascii="Times New Roman" w:hAnsi="Times New Roman" w:cs="Times New Roman"/>
          <w:color w:val="000000" w:themeColor="text1"/>
          <w:sz w:val="24"/>
          <w:szCs w:val="24"/>
          <w:u w:val="none"/>
        </w:rPr>
      </w:pPr>
    </w:p>
    <w:p w14:paraId="17AF4DF2" w14:textId="67FEE41D" w:rsidR="00893387" w:rsidRPr="0010086B" w:rsidRDefault="00087C1B" w:rsidP="0010086B">
      <w:pPr>
        <w:spacing w:line="360" w:lineRule="auto"/>
        <w:jc w:val="both"/>
        <w:rPr>
          <w:rStyle w:val="Hyperlink"/>
          <w:rFonts w:ascii="Times New Roman" w:hAnsi="Times New Roman" w:cs="Times New Roman"/>
          <w:color w:val="000000" w:themeColor="text1"/>
          <w:sz w:val="24"/>
          <w:szCs w:val="24"/>
          <w:u w:val="none"/>
        </w:rPr>
      </w:pPr>
      <w:r w:rsidRPr="00087C1B">
        <w:rPr>
          <w:rStyle w:val="Hyperlink"/>
          <w:rFonts w:ascii="Times New Roman" w:hAnsi="Times New Roman" w:cs="Times New Roman"/>
          <w:color w:val="000000" w:themeColor="text1"/>
          <w:sz w:val="24"/>
          <w:szCs w:val="24"/>
          <w:u w:val="none"/>
        </w:rPr>
        <w:lastRenderedPageBreak/>
        <w:t>There</w:t>
      </w:r>
      <w:r w:rsidR="000168D7">
        <w:rPr>
          <w:rStyle w:val="Hyperlink"/>
          <w:rFonts w:ascii="Times New Roman" w:hAnsi="Times New Roman" w:cs="Times New Roman"/>
          <w:color w:val="000000" w:themeColor="text1"/>
          <w:sz w:val="24"/>
          <w:szCs w:val="24"/>
          <w:u w:val="none"/>
        </w:rPr>
        <w:t xml:space="preserve"> are three key points to note. First, high-achieving disadvantaged boys are much more likely to </w:t>
      </w:r>
      <w:r w:rsidR="00EC1842">
        <w:rPr>
          <w:rStyle w:val="Hyperlink"/>
          <w:rFonts w:ascii="Times New Roman" w:hAnsi="Times New Roman" w:cs="Times New Roman"/>
          <w:color w:val="000000" w:themeColor="text1"/>
          <w:sz w:val="24"/>
          <w:szCs w:val="24"/>
          <w:u w:val="none"/>
        </w:rPr>
        <w:t xml:space="preserve">be cautioned or sentenced than high-achieving disadvantaged girls. Second, </w:t>
      </w:r>
      <w:r w:rsidR="007E263F">
        <w:rPr>
          <w:rStyle w:val="Hyperlink"/>
          <w:rFonts w:ascii="Times New Roman" w:hAnsi="Times New Roman" w:cs="Times New Roman"/>
          <w:color w:val="000000" w:themeColor="text1"/>
          <w:sz w:val="24"/>
          <w:szCs w:val="24"/>
          <w:u w:val="none"/>
        </w:rPr>
        <w:t>the peak in the caution/sentencing rate is later for boys (around ages 16 to 19) than for girls (around ages 13 to 15). Finally, Asian boys stand out as being less likely to be cautioned or sentenced than boys from other ethnic groups. For instance, 2.8% of high-achieving disadvantaged Asian boys were cautioned or sentenced for a crime they committed at age 18, compared to around 5.4% of Black and Mixed-race boys (and 3.9% of White boys). As a point of reference, the rate for girls for each eth</w:t>
      </w:r>
      <w:r w:rsidR="003E1446">
        <w:rPr>
          <w:rStyle w:val="Hyperlink"/>
          <w:rFonts w:ascii="Times New Roman" w:hAnsi="Times New Roman" w:cs="Times New Roman"/>
          <w:color w:val="000000" w:themeColor="text1"/>
          <w:sz w:val="24"/>
          <w:szCs w:val="24"/>
          <w:u w:val="none"/>
        </w:rPr>
        <w:t>n</w:t>
      </w:r>
      <w:r w:rsidR="007E263F">
        <w:rPr>
          <w:rStyle w:val="Hyperlink"/>
          <w:rFonts w:ascii="Times New Roman" w:hAnsi="Times New Roman" w:cs="Times New Roman"/>
          <w:color w:val="000000" w:themeColor="text1"/>
          <w:sz w:val="24"/>
          <w:szCs w:val="24"/>
          <w:u w:val="none"/>
        </w:rPr>
        <w:t>ic group is just under 1%.</w:t>
      </w:r>
      <w:r w:rsidR="00890FA9">
        <w:rPr>
          <w:rStyle w:val="Hyperlink"/>
          <w:rFonts w:ascii="Times New Roman" w:hAnsi="Times New Roman" w:cs="Times New Roman"/>
          <w:color w:val="000000" w:themeColor="text1"/>
          <w:sz w:val="24"/>
          <w:szCs w:val="24"/>
          <w:u w:val="none"/>
        </w:rPr>
        <w:t xml:space="preserve"> </w:t>
      </w:r>
      <w:r w:rsidR="0010086B">
        <w:rPr>
          <w:rStyle w:val="Hyperlink"/>
          <w:rFonts w:ascii="Times New Roman" w:hAnsi="Times New Roman" w:cs="Times New Roman"/>
          <w:color w:val="000000" w:themeColor="text1"/>
          <w:sz w:val="24"/>
          <w:szCs w:val="24"/>
          <w:u w:val="none"/>
        </w:rPr>
        <w:t xml:space="preserve">Appendix C (Table C5) complements these results with estimates from logistic regression models, including where differences are significantly different from high achieving, disadvantaged White boys </w:t>
      </w:r>
      <w:r w:rsidR="003E1446">
        <w:rPr>
          <w:rStyle w:val="Hyperlink"/>
          <w:rFonts w:ascii="Times New Roman" w:hAnsi="Times New Roman" w:cs="Times New Roman"/>
          <w:color w:val="000000" w:themeColor="text1"/>
          <w:sz w:val="24"/>
          <w:szCs w:val="24"/>
          <w:u w:val="none"/>
        </w:rPr>
        <w:t>(</w:t>
      </w:r>
      <w:r w:rsidR="0010086B">
        <w:rPr>
          <w:rStyle w:val="Hyperlink"/>
          <w:rFonts w:ascii="Times New Roman" w:hAnsi="Times New Roman" w:cs="Times New Roman"/>
          <w:color w:val="000000" w:themeColor="text1"/>
          <w:sz w:val="24"/>
          <w:szCs w:val="24"/>
          <w:u w:val="none"/>
        </w:rPr>
        <w:t>the reference group</w:t>
      </w:r>
      <w:r w:rsidR="003E1446">
        <w:rPr>
          <w:rStyle w:val="Hyperlink"/>
          <w:rFonts w:ascii="Times New Roman" w:hAnsi="Times New Roman" w:cs="Times New Roman"/>
          <w:color w:val="000000" w:themeColor="text1"/>
          <w:sz w:val="24"/>
          <w:szCs w:val="24"/>
          <w:u w:val="none"/>
        </w:rPr>
        <w:t>)</w:t>
      </w:r>
      <w:r w:rsidR="0010086B">
        <w:rPr>
          <w:rStyle w:val="Hyperlink"/>
          <w:rFonts w:ascii="Times New Roman" w:hAnsi="Times New Roman" w:cs="Times New Roman"/>
          <w:color w:val="000000" w:themeColor="text1"/>
          <w:sz w:val="24"/>
          <w:szCs w:val="24"/>
          <w:u w:val="none"/>
        </w:rPr>
        <w:t>.</w:t>
      </w:r>
    </w:p>
    <w:p w14:paraId="775C25E6" w14:textId="65551EBC" w:rsidR="002D76ED" w:rsidRPr="0081090C" w:rsidRDefault="002D76ED" w:rsidP="0010086B">
      <w:pPr>
        <w:spacing w:line="360" w:lineRule="auto"/>
        <w:jc w:val="both"/>
        <w:rPr>
          <w:rStyle w:val="Hyperlink"/>
          <w:rFonts w:ascii="Times New Roman" w:hAnsi="Times New Roman" w:cs="Times New Roman"/>
          <w:color w:val="000000" w:themeColor="text1"/>
          <w:sz w:val="24"/>
          <w:szCs w:val="24"/>
        </w:rPr>
      </w:pPr>
      <w:r w:rsidRPr="0081090C">
        <w:rPr>
          <w:rStyle w:val="Hyperlink"/>
          <w:rFonts w:ascii="Times New Roman" w:hAnsi="Times New Roman" w:cs="Times New Roman"/>
          <w:color w:val="000000" w:themeColor="text1"/>
          <w:sz w:val="24"/>
          <w:szCs w:val="24"/>
        </w:rPr>
        <w:t xml:space="preserve">Research question 4. </w:t>
      </w:r>
      <w:r w:rsidR="003E1446">
        <w:rPr>
          <w:rStyle w:val="Hyperlink"/>
          <w:rFonts w:ascii="Times New Roman" w:hAnsi="Times New Roman" w:cs="Times New Roman"/>
          <w:color w:val="000000" w:themeColor="text1"/>
          <w:sz w:val="24"/>
          <w:szCs w:val="24"/>
        </w:rPr>
        <w:t>Being cautioned/sentenced as an adult</w:t>
      </w:r>
    </w:p>
    <w:p w14:paraId="651A2B3E" w14:textId="49DAD3F5" w:rsidR="00964262" w:rsidRDefault="007A1F6D" w:rsidP="007A1F6D">
      <w:pPr>
        <w:spacing w:line="36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To conclude, Table 3 panel (a) investigates socio-economic differences in being cautioned or sentenced for a crime as an adult amongst initially high-achieving pupils, conditional on their background characteristics and various outcomes (</w:t>
      </w:r>
      <w:r w:rsidR="003E1446">
        <w:rPr>
          <w:rStyle w:val="Hyperlink"/>
          <w:rFonts w:ascii="Times New Roman" w:hAnsi="Times New Roman" w:cs="Times New Roman"/>
          <w:color w:val="000000" w:themeColor="text1"/>
          <w:sz w:val="24"/>
          <w:szCs w:val="24"/>
          <w:u w:val="none"/>
        </w:rPr>
        <w:t xml:space="preserve">e.g. </w:t>
      </w:r>
      <w:r>
        <w:rPr>
          <w:rStyle w:val="Hyperlink"/>
          <w:rFonts w:ascii="Times New Roman" w:hAnsi="Times New Roman" w:cs="Times New Roman"/>
          <w:color w:val="000000" w:themeColor="text1"/>
          <w:sz w:val="24"/>
          <w:szCs w:val="24"/>
          <w:u w:val="none"/>
        </w:rPr>
        <w:t xml:space="preserve">attendance, exclusions, test scores) </w:t>
      </w:r>
      <w:r w:rsidR="003E1446">
        <w:rPr>
          <w:rStyle w:val="Hyperlink"/>
          <w:rFonts w:ascii="Times New Roman" w:hAnsi="Times New Roman" w:cs="Times New Roman"/>
          <w:color w:val="000000" w:themeColor="text1"/>
          <w:sz w:val="24"/>
          <w:szCs w:val="24"/>
          <w:u w:val="none"/>
        </w:rPr>
        <w:t>through to the end of secondary school</w:t>
      </w:r>
      <w:r>
        <w:rPr>
          <w:rStyle w:val="Hyperlink"/>
          <w:rFonts w:ascii="Times New Roman" w:hAnsi="Times New Roman" w:cs="Times New Roman"/>
          <w:color w:val="000000" w:themeColor="text1"/>
          <w:sz w:val="24"/>
          <w:szCs w:val="24"/>
          <w:u w:val="none"/>
        </w:rPr>
        <w:t>. Estimates refer to odds ratios, with values less than one indicating lower odds of being cautioned or sentenced compared to high-achieving disadvantaged pupils as the reference group.</w:t>
      </w:r>
    </w:p>
    <w:p w14:paraId="7CE64F53" w14:textId="7D116E98" w:rsidR="007A1F6D" w:rsidRDefault="007A1F6D" w:rsidP="007A1F6D">
      <w:pPr>
        <w:spacing w:line="36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Model M0 refers to the bivariate relationship </w:t>
      </w:r>
      <w:r w:rsidR="003E1446">
        <w:rPr>
          <w:rStyle w:val="Hyperlink"/>
          <w:rFonts w:ascii="Times New Roman" w:hAnsi="Times New Roman" w:cs="Times New Roman"/>
          <w:color w:val="000000" w:themeColor="text1"/>
          <w:sz w:val="24"/>
          <w:szCs w:val="24"/>
          <w:u w:val="none"/>
        </w:rPr>
        <w:t>between</w:t>
      </w:r>
      <w:r>
        <w:rPr>
          <w:rStyle w:val="Hyperlink"/>
          <w:rFonts w:ascii="Times New Roman" w:hAnsi="Times New Roman" w:cs="Times New Roman"/>
          <w:color w:val="000000" w:themeColor="text1"/>
          <w:sz w:val="24"/>
          <w:szCs w:val="24"/>
          <w:u w:val="none"/>
        </w:rPr>
        <w:t xml:space="preserve"> being cautioned/sentence</w:t>
      </w:r>
      <w:r w:rsidR="00DF47D1">
        <w:rPr>
          <w:rStyle w:val="Hyperlink"/>
          <w:rFonts w:ascii="Times New Roman" w:hAnsi="Times New Roman" w:cs="Times New Roman"/>
          <w:color w:val="000000" w:themeColor="text1"/>
          <w:sz w:val="24"/>
          <w:szCs w:val="24"/>
          <w:u w:val="none"/>
        </w:rPr>
        <w:t>d</w:t>
      </w:r>
      <w:r>
        <w:rPr>
          <w:rStyle w:val="Hyperlink"/>
          <w:rFonts w:ascii="Times New Roman" w:hAnsi="Times New Roman" w:cs="Times New Roman"/>
          <w:color w:val="000000" w:themeColor="text1"/>
          <w:sz w:val="24"/>
          <w:szCs w:val="24"/>
          <w:u w:val="none"/>
        </w:rPr>
        <w:t xml:space="preserve"> and socio-economic status amongst pupils with strong Key Stage 2 scores. These unconditional results indicate that the odds of a high-achieving socio-economically advantaged young person receiving a criminal caution or sentence as an adult is around </w:t>
      </w:r>
      <w:r w:rsidR="003E1446">
        <w:rPr>
          <w:rStyle w:val="Hyperlink"/>
          <w:rFonts w:ascii="Times New Roman" w:hAnsi="Times New Roman" w:cs="Times New Roman"/>
          <w:color w:val="000000" w:themeColor="text1"/>
          <w:sz w:val="24"/>
          <w:szCs w:val="24"/>
          <w:u w:val="none"/>
        </w:rPr>
        <w:t>one-</w:t>
      </w:r>
      <w:r>
        <w:rPr>
          <w:rStyle w:val="Hyperlink"/>
          <w:rFonts w:ascii="Times New Roman" w:hAnsi="Times New Roman" w:cs="Times New Roman"/>
          <w:color w:val="000000" w:themeColor="text1"/>
          <w:sz w:val="24"/>
          <w:szCs w:val="24"/>
          <w:u w:val="none"/>
        </w:rPr>
        <w:t>third of their equally high-achieving, but socio-economically disadvantaged, peers (odds ratio = 0.32). The inclusion of background</w:t>
      </w:r>
      <w:r w:rsidR="00943DEE">
        <w:rPr>
          <w:rStyle w:val="Hyperlink"/>
          <w:rFonts w:ascii="Times New Roman" w:hAnsi="Times New Roman" w:cs="Times New Roman"/>
          <w:color w:val="000000" w:themeColor="text1"/>
          <w:sz w:val="24"/>
          <w:szCs w:val="24"/>
          <w:u w:val="none"/>
        </w:rPr>
        <w:t xml:space="preserve"> demographic and early prior achievement measures in model M1 do not change this result (odds ratio = 0.35). When school absences are included in model M2, the odds ratio does move </w:t>
      </w:r>
      <w:r w:rsidR="003E1446">
        <w:rPr>
          <w:rStyle w:val="Hyperlink"/>
          <w:rFonts w:ascii="Times New Roman" w:hAnsi="Times New Roman" w:cs="Times New Roman"/>
          <w:color w:val="000000" w:themeColor="text1"/>
          <w:sz w:val="24"/>
          <w:szCs w:val="24"/>
          <w:u w:val="none"/>
        </w:rPr>
        <w:t>somewhat</w:t>
      </w:r>
      <w:r w:rsidR="00943DEE">
        <w:rPr>
          <w:rStyle w:val="Hyperlink"/>
          <w:rFonts w:ascii="Times New Roman" w:hAnsi="Times New Roman" w:cs="Times New Roman"/>
          <w:color w:val="000000" w:themeColor="text1"/>
          <w:sz w:val="24"/>
          <w:szCs w:val="24"/>
          <w:u w:val="none"/>
        </w:rPr>
        <w:t xml:space="preserve"> closer to one (odds ratio = 0.44). This suggests that – to some extent </w:t>
      </w:r>
      <w:r w:rsidR="00910782">
        <w:rPr>
          <w:rStyle w:val="Hyperlink"/>
          <w:rFonts w:ascii="Times New Roman" w:hAnsi="Times New Roman" w:cs="Times New Roman"/>
          <w:color w:val="000000" w:themeColor="text1"/>
          <w:sz w:val="24"/>
          <w:szCs w:val="24"/>
          <w:u w:val="none"/>
        </w:rPr>
        <w:t>–</w:t>
      </w:r>
      <w:r w:rsidR="00943DEE">
        <w:rPr>
          <w:rStyle w:val="Hyperlink"/>
          <w:rFonts w:ascii="Times New Roman" w:hAnsi="Times New Roman" w:cs="Times New Roman"/>
          <w:color w:val="000000" w:themeColor="text1"/>
          <w:sz w:val="24"/>
          <w:szCs w:val="24"/>
          <w:u w:val="none"/>
        </w:rPr>
        <w:t xml:space="preserve"> </w:t>
      </w:r>
      <w:r w:rsidR="00910782">
        <w:rPr>
          <w:rStyle w:val="Hyperlink"/>
          <w:rFonts w:ascii="Times New Roman" w:hAnsi="Times New Roman" w:cs="Times New Roman"/>
          <w:color w:val="000000" w:themeColor="text1"/>
          <w:sz w:val="24"/>
          <w:szCs w:val="24"/>
          <w:u w:val="none"/>
        </w:rPr>
        <w:t>the socio-economic gap in being cautioned/sentence</w:t>
      </w:r>
      <w:r w:rsidR="00DF47D1">
        <w:rPr>
          <w:rStyle w:val="Hyperlink"/>
          <w:rFonts w:ascii="Times New Roman" w:hAnsi="Times New Roman" w:cs="Times New Roman"/>
          <w:color w:val="000000" w:themeColor="text1"/>
          <w:sz w:val="24"/>
          <w:szCs w:val="24"/>
          <w:u w:val="none"/>
        </w:rPr>
        <w:t>d</w:t>
      </w:r>
      <w:r w:rsidR="00910782">
        <w:rPr>
          <w:rStyle w:val="Hyperlink"/>
          <w:rFonts w:ascii="Times New Roman" w:hAnsi="Times New Roman" w:cs="Times New Roman"/>
          <w:color w:val="000000" w:themeColor="text1"/>
          <w:sz w:val="24"/>
          <w:szCs w:val="24"/>
          <w:u w:val="none"/>
        </w:rPr>
        <w:t xml:space="preserve"> as an adult can be traced back to differences in their attendance at secondary school. </w:t>
      </w:r>
      <w:r w:rsidR="00BA7CA4">
        <w:rPr>
          <w:rStyle w:val="Hyperlink"/>
          <w:rFonts w:ascii="Times New Roman" w:hAnsi="Times New Roman" w:cs="Times New Roman"/>
          <w:color w:val="000000" w:themeColor="text1"/>
          <w:sz w:val="24"/>
          <w:szCs w:val="24"/>
          <w:u w:val="none"/>
        </w:rPr>
        <w:t>While the addition of a control for exclusions from school leads to little further change to the odds ratio in model M3 (odds ratio = 0.47) controlling for whether they received a caution or sentence while they were at school does (odds ratio = 0.55). In other words, the greater propensity for high-achieving disadvantaged pupils to be cautioned/sentenced</w:t>
      </w:r>
      <w:r w:rsidR="003E1446">
        <w:rPr>
          <w:rStyle w:val="Hyperlink"/>
          <w:rFonts w:ascii="Times New Roman" w:hAnsi="Times New Roman" w:cs="Times New Roman"/>
          <w:color w:val="000000" w:themeColor="text1"/>
          <w:sz w:val="24"/>
          <w:szCs w:val="24"/>
          <w:u w:val="none"/>
        </w:rPr>
        <w:t xml:space="preserve"> </w:t>
      </w:r>
      <w:r w:rsidR="00BA7CA4">
        <w:rPr>
          <w:rStyle w:val="Hyperlink"/>
          <w:rFonts w:ascii="Times New Roman" w:hAnsi="Times New Roman" w:cs="Times New Roman"/>
          <w:color w:val="000000" w:themeColor="text1"/>
          <w:sz w:val="24"/>
          <w:szCs w:val="24"/>
          <w:u w:val="none"/>
        </w:rPr>
        <w:t>during their time at school can partly explain – at least in a statistical sense – their greater propensity to be cautioned/sentenced as an adult</w:t>
      </w:r>
      <w:r w:rsidR="003E1446">
        <w:rPr>
          <w:rStyle w:val="Hyperlink"/>
          <w:rFonts w:ascii="Times New Roman" w:hAnsi="Times New Roman" w:cs="Times New Roman"/>
          <w:color w:val="000000" w:themeColor="text1"/>
          <w:sz w:val="24"/>
          <w:szCs w:val="24"/>
          <w:u w:val="none"/>
        </w:rPr>
        <w:t xml:space="preserve"> </w:t>
      </w:r>
      <w:r w:rsidR="003E1446">
        <w:rPr>
          <w:rStyle w:val="Hyperlink"/>
          <w:rFonts w:ascii="Times New Roman" w:hAnsi="Times New Roman" w:cs="Times New Roman"/>
          <w:color w:val="000000" w:themeColor="text1"/>
          <w:sz w:val="24"/>
          <w:szCs w:val="24"/>
          <w:u w:val="none"/>
        </w:rPr>
        <w:lastRenderedPageBreak/>
        <w:t>(relative to their more advantaged peers)</w:t>
      </w:r>
      <w:r w:rsidR="00BA7CA4">
        <w:rPr>
          <w:rStyle w:val="Hyperlink"/>
          <w:rFonts w:ascii="Times New Roman" w:hAnsi="Times New Roman" w:cs="Times New Roman"/>
          <w:color w:val="000000" w:themeColor="text1"/>
          <w:sz w:val="24"/>
          <w:szCs w:val="24"/>
          <w:u w:val="none"/>
        </w:rPr>
        <w:t xml:space="preserve">. The final specification – where GCSE grades are also added (M5) – nudges the estimates odds ratio </w:t>
      </w:r>
      <w:r w:rsidR="00F96997">
        <w:rPr>
          <w:rStyle w:val="Hyperlink"/>
          <w:rFonts w:ascii="Times New Roman" w:hAnsi="Times New Roman" w:cs="Times New Roman"/>
          <w:color w:val="000000" w:themeColor="text1"/>
          <w:sz w:val="24"/>
          <w:szCs w:val="24"/>
          <w:u w:val="none"/>
        </w:rPr>
        <w:t xml:space="preserve">slightly </w:t>
      </w:r>
      <w:r w:rsidR="00BA7CA4">
        <w:rPr>
          <w:rStyle w:val="Hyperlink"/>
          <w:rFonts w:ascii="Times New Roman" w:hAnsi="Times New Roman" w:cs="Times New Roman"/>
          <w:color w:val="000000" w:themeColor="text1"/>
          <w:sz w:val="24"/>
          <w:szCs w:val="24"/>
          <w:u w:val="none"/>
        </w:rPr>
        <w:t>further towards one (standing at 0.6).</w:t>
      </w:r>
    </w:p>
    <w:p w14:paraId="32535026" w14:textId="77777777" w:rsidR="00EE311F" w:rsidRDefault="00EE311F" w:rsidP="00095659">
      <w:pPr>
        <w:spacing w:after="0"/>
        <w:jc w:val="center"/>
        <w:rPr>
          <w:b/>
          <w:bCs/>
        </w:rPr>
      </w:pPr>
      <w:r>
        <w:rPr>
          <w:b/>
          <w:bCs/>
        </w:rPr>
        <w:t>Table 3</w:t>
      </w:r>
      <w:r w:rsidRPr="004314AA">
        <w:rPr>
          <w:b/>
          <w:bCs/>
        </w:rPr>
        <w:t xml:space="preserve">. </w:t>
      </w:r>
      <w:r>
        <w:rPr>
          <w:b/>
          <w:bCs/>
        </w:rPr>
        <w:t>Logistic regression estimates of high-achieving primary school pupils being cautioned/sentenced as an adult. Differences across socio-economic groups. Odds ratio.</w:t>
      </w:r>
    </w:p>
    <w:p w14:paraId="41369127" w14:textId="77777777" w:rsidR="00EE311F" w:rsidRDefault="00EE311F" w:rsidP="00095659">
      <w:pPr>
        <w:pStyle w:val="ListParagraph"/>
        <w:numPr>
          <w:ilvl w:val="0"/>
          <w:numId w:val="10"/>
        </w:numPr>
        <w:spacing w:after="0"/>
        <w:jc w:val="center"/>
      </w:pPr>
      <w:r w:rsidRPr="004C6ADE">
        <w:t>Differences across socio-economic groups</w:t>
      </w:r>
    </w:p>
    <w:tbl>
      <w:tblPr>
        <w:tblW w:w="8651" w:type="dxa"/>
        <w:jc w:val="center"/>
        <w:tblLook w:val="04A0" w:firstRow="1" w:lastRow="0" w:firstColumn="1" w:lastColumn="0" w:noHBand="0" w:noVBand="1"/>
      </w:tblPr>
      <w:tblGrid>
        <w:gridCol w:w="2891"/>
        <w:gridCol w:w="960"/>
        <w:gridCol w:w="960"/>
        <w:gridCol w:w="960"/>
        <w:gridCol w:w="960"/>
        <w:gridCol w:w="960"/>
        <w:gridCol w:w="960"/>
      </w:tblGrid>
      <w:tr w:rsidR="00EE311F" w:rsidRPr="0073679A" w14:paraId="3ADACD8A" w14:textId="77777777" w:rsidTr="00515E57">
        <w:trPr>
          <w:trHeight w:val="290"/>
          <w:jc w:val="center"/>
        </w:trPr>
        <w:tc>
          <w:tcPr>
            <w:tcW w:w="2891" w:type="dxa"/>
            <w:tcBorders>
              <w:top w:val="single" w:sz="4" w:space="0" w:color="auto"/>
              <w:left w:val="nil"/>
              <w:bottom w:val="single" w:sz="4" w:space="0" w:color="auto"/>
              <w:right w:val="nil"/>
            </w:tcBorders>
            <w:shd w:val="clear" w:color="000000" w:fill="D9E1F2"/>
            <w:noWrap/>
            <w:vAlign w:val="bottom"/>
            <w:hideMark/>
          </w:tcPr>
          <w:p w14:paraId="656B6CB8" w14:textId="77777777" w:rsidR="00EE311F" w:rsidRPr="0073679A" w:rsidRDefault="00EE311F" w:rsidP="00095659">
            <w:pPr>
              <w:spacing w:after="0" w:line="240" w:lineRule="auto"/>
              <w:rPr>
                <w:rFonts w:ascii="Calibri" w:eastAsia="Times New Roman" w:hAnsi="Calibri" w:cs="Calibri"/>
                <w:b/>
                <w:bCs/>
                <w:color w:val="000000"/>
                <w:lang w:eastAsia="en-GB"/>
              </w:rPr>
            </w:pPr>
            <w:r w:rsidRPr="0073679A">
              <w:rPr>
                <w:rFonts w:ascii="Calibri" w:eastAsia="Times New Roman" w:hAnsi="Calibri" w:cs="Calibri"/>
                <w:b/>
                <w:bCs/>
                <w:color w:val="000000"/>
                <w:lang w:eastAsia="en-GB"/>
              </w:rPr>
              <w:t> </w:t>
            </w:r>
          </w:p>
        </w:tc>
        <w:tc>
          <w:tcPr>
            <w:tcW w:w="960" w:type="dxa"/>
            <w:tcBorders>
              <w:top w:val="single" w:sz="4" w:space="0" w:color="auto"/>
              <w:left w:val="nil"/>
              <w:bottom w:val="single" w:sz="4" w:space="0" w:color="auto"/>
              <w:right w:val="nil"/>
            </w:tcBorders>
            <w:shd w:val="clear" w:color="000000" w:fill="D9E1F2"/>
            <w:noWrap/>
            <w:vAlign w:val="bottom"/>
            <w:hideMark/>
          </w:tcPr>
          <w:p w14:paraId="6536A9BB" w14:textId="77777777" w:rsidR="00EE311F" w:rsidRPr="0073679A" w:rsidRDefault="00EE311F" w:rsidP="00095659">
            <w:pPr>
              <w:spacing w:after="0" w:line="240" w:lineRule="auto"/>
              <w:jc w:val="center"/>
              <w:rPr>
                <w:rFonts w:ascii="Calibri" w:eastAsia="Times New Roman" w:hAnsi="Calibri" w:cs="Calibri"/>
                <w:b/>
                <w:bCs/>
                <w:color w:val="000000"/>
                <w:lang w:eastAsia="en-GB"/>
              </w:rPr>
            </w:pPr>
            <w:r w:rsidRPr="0073679A">
              <w:rPr>
                <w:rFonts w:ascii="Calibri" w:eastAsia="Times New Roman" w:hAnsi="Calibri" w:cs="Calibri"/>
                <w:b/>
                <w:bCs/>
                <w:color w:val="000000"/>
                <w:lang w:eastAsia="en-GB"/>
              </w:rPr>
              <w:t>M0</w:t>
            </w:r>
          </w:p>
        </w:tc>
        <w:tc>
          <w:tcPr>
            <w:tcW w:w="960" w:type="dxa"/>
            <w:tcBorders>
              <w:top w:val="single" w:sz="4" w:space="0" w:color="auto"/>
              <w:left w:val="nil"/>
              <w:bottom w:val="single" w:sz="4" w:space="0" w:color="auto"/>
              <w:right w:val="nil"/>
            </w:tcBorders>
            <w:shd w:val="clear" w:color="000000" w:fill="D9E1F2"/>
            <w:noWrap/>
            <w:vAlign w:val="bottom"/>
            <w:hideMark/>
          </w:tcPr>
          <w:p w14:paraId="7D1A516F" w14:textId="77777777" w:rsidR="00EE311F" w:rsidRPr="0073679A" w:rsidRDefault="00EE311F" w:rsidP="00095659">
            <w:pPr>
              <w:spacing w:after="0" w:line="240" w:lineRule="auto"/>
              <w:jc w:val="center"/>
              <w:rPr>
                <w:rFonts w:ascii="Calibri" w:eastAsia="Times New Roman" w:hAnsi="Calibri" w:cs="Calibri"/>
                <w:b/>
                <w:bCs/>
                <w:color w:val="000000"/>
                <w:lang w:eastAsia="en-GB"/>
              </w:rPr>
            </w:pPr>
            <w:r w:rsidRPr="0073679A">
              <w:rPr>
                <w:rFonts w:ascii="Calibri" w:eastAsia="Times New Roman" w:hAnsi="Calibri" w:cs="Calibri"/>
                <w:b/>
                <w:bCs/>
                <w:color w:val="000000"/>
                <w:lang w:eastAsia="en-GB"/>
              </w:rPr>
              <w:t>M1</w:t>
            </w:r>
          </w:p>
        </w:tc>
        <w:tc>
          <w:tcPr>
            <w:tcW w:w="960" w:type="dxa"/>
            <w:tcBorders>
              <w:top w:val="single" w:sz="4" w:space="0" w:color="auto"/>
              <w:left w:val="nil"/>
              <w:bottom w:val="single" w:sz="4" w:space="0" w:color="auto"/>
              <w:right w:val="nil"/>
            </w:tcBorders>
            <w:shd w:val="clear" w:color="000000" w:fill="D9E1F2"/>
            <w:noWrap/>
            <w:vAlign w:val="bottom"/>
            <w:hideMark/>
          </w:tcPr>
          <w:p w14:paraId="75B2FBBE" w14:textId="77777777" w:rsidR="00EE311F" w:rsidRPr="0073679A" w:rsidRDefault="00EE311F" w:rsidP="00095659">
            <w:pPr>
              <w:spacing w:after="0" w:line="240" w:lineRule="auto"/>
              <w:jc w:val="center"/>
              <w:rPr>
                <w:rFonts w:ascii="Calibri" w:eastAsia="Times New Roman" w:hAnsi="Calibri" w:cs="Calibri"/>
                <w:b/>
                <w:bCs/>
                <w:color w:val="000000"/>
                <w:lang w:eastAsia="en-GB"/>
              </w:rPr>
            </w:pPr>
            <w:r w:rsidRPr="0073679A">
              <w:rPr>
                <w:rFonts w:ascii="Calibri" w:eastAsia="Times New Roman" w:hAnsi="Calibri" w:cs="Calibri"/>
                <w:b/>
                <w:bCs/>
                <w:color w:val="000000"/>
                <w:lang w:eastAsia="en-GB"/>
              </w:rPr>
              <w:t>M2</w:t>
            </w:r>
          </w:p>
        </w:tc>
        <w:tc>
          <w:tcPr>
            <w:tcW w:w="960" w:type="dxa"/>
            <w:tcBorders>
              <w:top w:val="single" w:sz="4" w:space="0" w:color="auto"/>
              <w:left w:val="nil"/>
              <w:bottom w:val="single" w:sz="4" w:space="0" w:color="auto"/>
              <w:right w:val="nil"/>
            </w:tcBorders>
            <w:shd w:val="clear" w:color="000000" w:fill="D9E1F2"/>
            <w:noWrap/>
            <w:vAlign w:val="bottom"/>
            <w:hideMark/>
          </w:tcPr>
          <w:p w14:paraId="6E70A1EE" w14:textId="77777777" w:rsidR="00EE311F" w:rsidRPr="0073679A" w:rsidRDefault="00EE311F" w:rsidP="00095659">
            <w:pPr>
              <w:spacing w:after="0" w:line="240" w:lineRule="auto"/>
              <w:jc w:val="center"/>
              <w:rPr>
                <w:rFonts w:ascii="Calibri" w:eastAsia="Times New Roman" w:hAnsi="Calibri" w:cs="Calibri"/>
                <w:b/>
                <w:bCs/>
                <w:color w:val="000000"/>
                <w:lang w:eastAsia="en-GB"/>
              </w:rPr>
            </w:pPr>
            <w:r w:rsidRPr="0073679A">
              <w:rPr>
                <w:rFonts w:ascii="Calibri" w:eastAsia="Times New Roman" w:hAnsi="Calibri" w:cs="Calibri"/>
                <w:b/>
                <w:bCs/>
                <w:color w:val="000000"/>
                <w:lang w:eastAsia="en-GB"/>
              </w:rPr>
              <w:t>M3</w:t>
            </w:r>
          </w:p>
        </w:tc>
        <w:tc>
          <w:tcPr>
            <w:tcW w:w="960" w:type="dxa"/>
            <w:tcBorders>
              <w:top w:val="single" w:sz="4" w:space="0" w:color="auto"/>
              <w:left w:val="nil"/>
              <w:bottom w:val="single" w:sz="4" w:space="0" w:color="auto"/>
              <w:right w:val="nil"/>
            </w:tcBorders>
            <w:shd w:val="clear" w:color="000000" w:fill="D9E1F2"/>
            <w:noWrap/>
            <w:vAlign w:val="bottom"/>
            <w:hideMark/>
          </w:tcPr>
          <w:p w14:paraId="720115AD" w14:textId="77777777" w:rsidR="00EE311F" w:rsidRPr="0073679A" w:rsidRDefault="00EE311F" w:rsidP="00095659">
            <w:pPr>
              <w:spacing w:after="0" w:line="240" w:lineRule="auto"/>
              <w:jc w:val="center"/>
              <w:rPr>
                <w:rFonts w:ascii="Calibri" w:eastAsia="Times New Roman" w:hAnsi="Calibri" w:cs="Calibri"/>
                <w:b/>
                <w:bCs/>
                <w:color w:val="000000"/>
                <w:lang w:eastAsia="en-GB"/>
              </w:rPr>
            </w:pPr>
            <w:r w:rsidRPr="0073679A">
              <w:rPr>
                <w:rFonts w:ascii="Calibri" w:eastAsia="Times New Roman" w:hAnsi="Calibri" w:cs="Calibri"/>
                <w:b/>
                <w:bCs/>
                <w:color w:val="000000"/>
                <w:lang w:eastAsia="en-GB"/>
              </w:rPr>
              <w:t>M4</w:t>
            </w:r>
          </w:p>
        </w:tc>
        <w:tc>
          <w:tcPr>
            <w:tcW w:w="960" w:type="dxa"/>
            <w:tcBorders>
              <w:top w:val="single" w:sz="4" w:space="0" w:color="auto"/>
              <w:left w:val="nil"/>
              <w:bottom w:val="single" w:sz="4" w:space="0" w:color="auto"/>
              <w:right w:val="nil"/>
            </w:tcBorders>
            <w:shd w:val="clear" w:color="000000" w:fill="D9E1F2"/>
            <w:noWrap/>
            <w:vAlign w:val="bottom"/>
            <w:hideMark/>
          </w:tcPr>
          <w:p w14:paraId="2EA9958B" w14:textId="77777777" w:rsidR="00EE311F" w:rsidRPr="0073679A" w:rsidRDefault="00EE311F" w:rsidP="00095659">
            <w:pPr>
              <w:spacing w:after="0" w:line="240" w:lineRule="auto"/>
              <w:jc w:val="center"/>
              <w:rPr>
                <w:rFonts w:ascii="Calibri" w:eastAsia="Times New Roman" w:hAnsi="Calibri" w:cs="Calibri"/>
                <w:b/>
                <w:bCs/>
                <w:color w:val="000000"/>
                <w:lang w:eastAsia="en-GB"/>
              </w:rPr>
            </w:pPr>
            <w:r w:rsidRPr="0073679A">
              <w:rPr>
                <w:rFonts w:ascii="Calibri" w:eastAsia="Times New Roman" w:hAnsi="Calibri" w:cs="Calibri"/>
                <w:b/>
                <w:bCs/>
                <w:color w:val="000000"/>
                <w:lang w:eastAsia="en-GB"/>
              </w:rPr>
              <w:t>M5</w:t>
            </w:r>
          </w:p>
        </w:tc>
      </w:tr>
      <w:tr w:rsidR="00EE311F" w:rsidRPr="0073679A" w14:paraId="0F343117" w14:textId="77777777" w:rsidTr="00515E57">
        <w:trPr>
          <w:trHeight w:val="290"/>
          <w:jc w:val="center"/>
        </w:trPr>
        <w:tc>
          <w:tcPr>
            <w:tcW w:w="2891" w:type="dxa"/>
            <w:tcBorders>
              <w:top w:val="nil"/>
              <w:left w:val="nil"/>
              <w:bottom w:val="nil"/>
              <w:right w:val="nil"/>
            </w:tcBorders>
            <w:shd w:val="clear" w:color="auto" w:fill="auto"/>
            <w:noWrap/>
            <w:vAlign w:val="bottom"/>
            <w:hideMark/>
          </w:tcPr>
          <w:p w14:paraId="770BEB04" w14:textId="77777777" w:rsidR="00EE311F" w:rsidRPr="0073679A" w:rsidRDefault="00EE311F" w:rsidP="00515E57">
            <w:pPr>
              <w:spacing w:after="0" w:line="240" w:lineRule="auto"/>
              <w:rPr>
                <w:rFonts w:ascii="Calibri" w:eastAsia="Times New Roman" w:hAnsi="Calibri" w:cs="Calibri"/>
                <w:color w:val="000000"/>
                <w:lang w:eastAsia="en-GB"/>
              </w:rPr>
            </w:pPr>
            <w:r w:rsidRPr="0073679A">
              <w:rPr>
                <w:rFonts w:ascii="Calibri" w:eastAsia="Times New Roman" w:hAnsi="Calibri" w:cs="Calibri"/>
                <w:color w:val="000000"/>
                <w:lang w:eastAsia="en-GB"/>
              </w:rPr>
              <w:t>Q2 SES</w:t>
            </w:r>
          </w:p>
        </w:tc>
        <w:tc>
          <w:tcPr>
            <w:tcW w:w="960" w:type="dxa"/>
            <w:tcBorders>
              <w:top w:val="nil"/>
              <w:left w:val="nil"/>
              <w:bottom w:val="nil"/>
              <w:right w:val="nil"/>
            </w:tcBorders>
            <w:shd w:val="clear" w:color="auto" w:fill="auto"/>
            <w:noWrap/>
            <w:vAlign w:val="bottom"/>
            <w:hideMark/>
          </w:tcPr>
          <w:p w14:paraId="1F43E806"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0.57</w:t>
            </w:r>
            <w:r>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0B28F37E"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0.62</w:t>
            </w:r>
            <w:r>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3D11DCED"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0.70</w:t>
            </w:r>
            <w:r>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715533C1"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0.73</w:t>
            </w:r>
            <w:r>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6CAF7423"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0.78</w:t>
            </w:r>
            <w:r>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22075AD4"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0.82</w:t>
            </w:r>
            <w:r>
              <w:rPr>
                <w:rFonts w:ascii="Calibri" w:eastAsia="Times New Roman" w:hAnsi="Calibri" w:cs="Calibri"/>
                <w:color w:val="000000"/>
                <w:lang w:eastAsia="en-GB"/>
              </w:rPr>
              <w:t>*</w:t>
            </w:r>
          </w:p>
        </w:tc>
      </w:tr>
      <w:tr w:rsidR="00EE311F" w:rsidRPr="0073679A" w14:paraId="6CBD3314" w14:textId="77777777" w:rsidTr="00515E57">
        <w:trPr>
          <w:trHeight w:val="290"/>
          <w:jc w:val="center"/>
        </w:trPr>
        <w:tc>
          <w:tcPr>
            <w:tcW w:w="2891" w:type="dxa"/>
            <w:tcBorders>
              <w:top w:val="nil"/>
              <w:left w:val="nil"/>
              <w:bottom w:val="nil"/>
              <w:right w:val="nil"/>
            </w:tcBorders>
            <w:shd w:val="clear" w:color="auto" w:fill="auto"/>
            <w:noWrap/>
            <w:vAlign w:val="bottom"/>
            <w:hideMark/>
          </w:tcPr>
          <w:p w14:paraId="604BEA10" w14:textId="77777777" w:rsidR="00EE311F" w:rsidRPr="0073679A" w:rsidRDefault="00EE311F" w:rsidP="00515E57">
            <w:pPr>
              <w:spacing w:after="0" w:line="240" w:lineRule="auto"/>
              <w:rPr>
                <w:rFonts w:ascii="Calibri" w:eastAsia="Times New Roman" w:hAnsi="Calibri" w:cs="Calibri"/>
                <w:color w:val="000000"/>
                <w:lang w:eastAsia="en-GB"/>
              </w:rPr>
            </w:pPr>
            <w:r w:rsidRPr="0073679A">
              <w:rPr>
                <w:rFonts w:ascii="Calibri" w:eastAsia="Times New Roman" w:hAnsi="Calibri" w:cs="Calibri"/>
                <w:color w:val="000000"/>
                <w:lang w:eastAsia="en-GB"/>
              </w:rPr>
              <w:t>Q3 SES</w:t>
            </w:r>
          </w:p>
        </w:tc>
        <w:tc>
          <w:tcPr>
            <w:tcW w:w="960" w:type="dxa"/>
            <w:tcBorders>
              <w:top w:val="nil"/>
              <w:left w:val="nil"/>
              <w:bottom w:val="nil"/>
              <w:right w:val="nil"/>
            </w:tcBorders>
            <w:shd w:val="clear" w:color="auto" w:fill="auto"/>
            <w:noWrap/>
            <w:vAlign w:val="bottom"/>
            <w:hideMark/>
          </w:tcPr>
          <w:p w14:paraId="5B5F562E"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0.44</w:t>
            </w:r>
            <w:r>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737A11E7"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0.49</w:t>
            </w:r>
            <w:r>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2D0DBA0A"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0.57</w:t>
            </w:r>
            <w:r>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02A6D380"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0.60</w:t>
            </w:r>
            <w:r>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550C7C03"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0.67</w:t>
            </w:r>
            <w:r>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5AFE66DE"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0.70</w:t>
            </w:r>
            <w:r>
              <w:rPr>
                <w:rFonts w:ascii="Calibri" w:eastAsia="Times New Roman" w:hAnsi="Calibri" w:cs="Calibri"/>
                <w:color w:val="000000"/>
                <w:lang w:eastAsia="en-GB"/>
              </w:rPr>
              <w:t>*</w:t>
            </w:r>
          </w:p>
        </w:tc>
      </w:tr>
      <w:tr w:rsidR="00EE311F" w:rsidRPr="0073679A" w14:paraId="5F1AB58E" w14:textId="77777777" w:rsidTr="00515E57">
        <w:trPr>
          <w:trHeight w:val="290"/>
          <w:jc w:val="center"/>
        </w:trPr>
        <w:tc>
          <w:tcPr>
            <w:tcW w:w="2891" w:type="dxa"/>
            <w:tcBorders>
              <w:top w:val="nil"/>
              <w:left w:val="nil"/>
              <w:bottom w:val="nil"/>
              <w:right w:val="nil"/>
            </w:tcBorders>
            <w:shd w:val="clear" w:color="auto" w:fill="auto"/>
            <w:noWrap/>
            <w:vAlign w:val="bottom"/>
            <w:hideMark/>
          </w:tcPr>
          <w:p w14:paraId="315D7DB4" w14:textId="77777777" w:rsidR="00EE311F" w:rsidRPr="0073679A" w:rsidRDefault="00EE311F" w:rsidP="00515E57">
            <w:pPr>
              <w:spacing w:after="0" w:line="240" w:lineRule="auto"/>
              <w:rPr>
                <w:rFonts w:ascii="Calibri" w:eastAsia="Times New Roman" w:hAnsi="Calibri" w:cs="Calibri"/>
                <w:color w:val="000000"/>
                <w:lang w:eastAsia="en-GB"/>
              </w:rPr>
            </w:pPr>
            <w:r w:rsidRPr="0073679A">
              <w:rPr>
                <w:rFonts w:ascii="Calibri" w:eastAsia="Times New Roman" w:hAnsi="Calibri" w:cs="Calibri"/>
                <w:color w:val="000000"/>
                <w:lang w:eastAsia="en-GB"/>
              </w:rPr>
              <w:t>Top SES quartile</w:t>
            </w:r>
          </w:p>
        </w:tc>
        <w:tc>
          <w:tcPr>
            <w:tcW w:w="960" w:type="dxa"/>
            <w:tcBorders>
              <w:top w:val="nil"/>
              <w:left w:val="nil"/>
              <w:bottom w:val="nil"/>
              <w:right w:val="nil"/>
            </w:tcBorders>
            <w:shd w:val="clear" w:color="auto" w:fill="auto"/>
            <w:noWrap/>
            <w:vAlign w:val="bottom"/>
            <w:hideMark/>
          </w:tcPr>
          <w:p w14:paraId="6AAC2A8B"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0.32</w:t>
            </w:r>
            <w:r>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69E913A0"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0.35</w:t>
            </w:r>
            <w:r>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2DA2C801"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0.44</w:t>
            </w:r>
            <w:r>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58DF90E6"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0.47</w:t>
            </w:r>
            <w:r>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13C6ACC9"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0.55</w:t>
            </w:r>
            <w:r>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47DF5DB5"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0.60</w:t>
            </w:r>
            <w:r>
              <w:rPr>
                <w:rFonts w:ascii="Calibri" w:eastAsia="Times New Roman" w:hAnsi="Calibri" w:cs="Calibri"/>
                <w:color w:val="000000"/>
                <w:lang w:eastAsia="en-GB"/>
              </w:rPr>
              <w:t>*</w:t>
            </w:r>
          </w:p>
        </w:tc>
      </w:tr>
      <w:tr w:rsidR="00EE311F" w:rsidRPr="0073679A" w14:paraId="5F04E3EF" w14:textId="77777777" w:rsidTr="00515E57">
        <w:trPr>
          <w:trHeight w:val="290"/>
          <w:jc w:val="center"/>
        </w:trPr>
        <w:tc>
          <w:tcPr>
            <w:tcW w:w="2891" w:type="dxa"/>
            <w:tcBorders>
              <w:top w:val="single" w:sz="4" w:space="0" w:color="auto"/>
              <w:left w:val="nil"/>
              <w:bottom w:val="single" w:sz="4" w:space="0" w:color="auto"/>
              <w:right w:val="nil"/>
            </w:tcBorders>
            <w:shd w:val="clear" w:color="auto" w:fill="auto"/>
            <w:noWrap/>
            <w:vAlign w:val="bottom"/>
            <w:hideMark/>
          </w:tcPr>
          <w:p w14:paraId="1EB3E965" w14:textId="77777777" w:rsidR="00EE311F" w:rsidRPr="0073679A" w:rsidRDefault="00EE311F" w:rsidP="00515E57">
            <w:pPr>
              <w:spacing w:after="0" w:line="240" w:lineRule="auto"/>
              <w:rPr>
                <w:rFonts w:ascii="Calibri" w:eastAsia="Times New Roman" w:hAnsi="Calibri" w:cs="Calibri"/>
                <w:b/>
                <w:bCs/>
                <w:color w:val="000000"/>
                <w:lang w:eastAsia="en-GB"/>
              </w:rPr>
            </w:pPr>
            <w:r w:rsidRPr="0073679A">
              <w:rPr>
                <w:rFonts w:ascii="Calibri" w:eastAsia="Times New Roman" w:hAnsi="Calibri" w:cs="Calibri"/>
                <w:b/>
                <w:bCs/>
                <w:color w:val="000000"/>
                <w:lang w:eastAsia="en-GB"/>
              </w:rPr>
              <w:t>N</w:t>
            </w:r>
          </w:p>
        </w:tc>
        <w:tc>
          <w:tcPr>
            <w:tcW w:w="960" w:type="dxa"/>
            <w:tcBorders>
              <w:top w:val="single" w:sz="4" w:space="0" w:color="auto"/>
              <w:left w:val="nil"/>
              <w:bottom w:val="single" w:sz="4" w:space="0" w:color="auto"/>
              <w:right w:val="nil"/>
            </w:tcBorders>
            <w:shd w:val="clear" w:color="auto" w:fill="auto"/>
            <w:noWrap/>
            <w:vAlign w:val="bottom"/>
            <w:hideMark/>
          </w:tcPr>
          <w:p w14:paraId="770D953D" w14:textId="77777777" w:rsidR="00EE311F" w:rsidRPr="0073679A" w:rsidRDefault="00EE311F" w:rsidP="00515E57">
            <w:pPr>
              <w:spacing w:after="0" w:line="240" w:lineRule="auto"/>
              <w:jc w:val="center"/>
              <w:rPr>
                <w:rFonts w:ascii="Calibri" w:eastAsia="Times New Roman" w:hAnsi="Calibri" w:cs="Calibri"/>
                <w:b/>
                <w:bCs/>
                <w:color w:val="000000"/>
                <w:lang w:eastAsia="en-GB"/>
              </w:rPr>
            </w:pPr>
            <w:r w:rsidRPr="0073679A">
              <w:rPr>
                <w:rFonts w:ascii="Calibri" w:eastAsia="Times New Roman" w:hAnsi="Calibri" w:cs="Calibri"/>
                <w:b/>
                <w:bCs/>
                <w:color w:val="000000"/>
                <w:lang w:eastAsia="en-GB"/>
              </w:rPr>
              <w:t>281413</w:t>
            </w:r>
          </w:p>
        </w:tc>
        <w:tc>
          <w:tcPr>
            <w:tcW w:w="960" w:type="dxa"/>
            <w:tcBorders>
              <w:top w:val="single" w:sz="4" w:space="0" w:color="auto"/>
              <w:left w:val="nil"/>
              <w:bottom w:val="single" w:sz="4" w:space="0" w:color="auto"/>
              <w:right w:val="nil"/>
            </w:tcBorders>
            <w:shd w:val="clear" w:color="auto" w:fill="auto"/>
            <w:noWrap/>
            <w:vAlign w:val="bottom"/>
            <w:hideMark/>
          </w:tcPr>
          <w:p w14:paraId="5F234549" w14:textId="77777777" w:rsidR="00EE311F" w:rsidRPr="0073679A" w:rsidRDefault="00EE311F" w:rsidP="00515E57">
            <w:pPr>
              <w:spacing w:after="0" w:line="240" w:lineRule="auto"/>
              <w:jc w:val="center"/>
              <w:rPr>
                <w:rFonts w:ascii="Calibri" w:eastAsia="Times New Roman" w:hAnsi="Calibri" w:cs="Calibri"/>
                <w:b/>
                <w:bCs/>
                <w:color w:val="000000"/>
                <w:lang w:eastAsia="en-GB"/>
              </w:rPr>
            </w:pPr>
            <w:r w:rsidRPr="0073679A">
              <w:rPr>
                <w:rFonts w:ascii="Calibri" w:eastAsia="Times New Roman" w:hAnsi="Calibri" w:cs="Calibri"/>
                <w:b/>
                <w:bCs/>
                <w:color w:val="000000"/>
                <w:lang w:eastAsia="en-GB"/>
              </w:rPr>
              <w:t>279693</w:t>
            </w:r>
          </w:p>
        </w:tc>
        <w:tc>
          <w:tcPr>
            <w:tcW w:w="960" w:type="dxa"/>
            <w:tcBorders>
              <w:top w:val="single" w:sz="4" w:space="0" w:color="auto"/>
              <w:left w:val="nil"/>
              <w:bottom w:val="single" w:sz="4" w:space="0" w:color="auto"/>
              <w:right w:val="nil"/>
            </w:tcBorders>
            <w:shd w:val="clear" w:color="auto" w:fill="auto"/>
            <w:noWrap/>
            <w:vAlign w:val="bottom"/>
            <w:hideMark/>
          </w:tcPr>
          <w:p w14:paraId="6725F2BC" w14:textId="77777777" w:rsidR="00EE311F" w:rsidRPr="0073679A" w:rsidRDefault="00EE311F" w:rsidP="00515E57">
            <w:pPr>
              <w:spacing w:after="0" w:line="240" w:lineRule="auto"/>
              <w:jc w:val="center"/>
              <w:rPr>
                <w:rFonts w:ascii="Calibri" w:eastAsia="Times New Roman" w:hAnsi="Calibri" w:cs="Calibri"/>
                <w:b/>
                <w:bCs/>
                <w:color w:val="000000"/>
                <w:lang w:eastAsia="en-GB"/>
              </w:rPr>
            </w:pPr>
            <w:r w:rsidRPr="0073679A">
              <w:rPr>
                <w:rFonts w:ascii="Calibri" w:eastAsia="Times New Roman" w:hAnsi="Calibri" w:cs="Calibri"/>
                <w:b/>
                <w:bCs/>
                <w:color w:val="000000"/>
                <w:lang w:eastAsia="en-GB"/>
              </w:rPr>
              <w:t>279693</w:t>
            </w:r>
          </w:p>
        </w:tc>
        <w:tc>
          <w:tcPr>
            <w:tcW w:w="960" w:type="dxa"/>
            <w:tcBorders>
              <w:top w:val="single" w:sz="4" w:space="0" w:color="auto"/>
              <w:left w:val="nil"/>
              <w:bottom w:val="single" w:sz="4" w:space="0" w:color="auto"/>
              <w:right w:val="nil"/>
            </w:tcBorders>
            <w:shd w:val="clear" w:color="auto" w:fill="auto"/>
            <w:noWrap/>
            <w:vAlign w:val="bottom"/>
            <w:hideMark/>
          </w:tcPr>
          <w:p w14:paraId="35DE01BF" w14:textId="77777777" w:rsidR="00EE311F" w:rsidRPr="0073679A" w:rsidRDefault="00EE311F" w:rsidP="00515E57">
            <w:pPr>
              <w:spacing w:after="0" w:line="240" w:lineRule="auto"/>
              <w:jc w:val="center"/>
              <w:rPr>
                <w:rFonts w:ascii="Calibri" w:eastAsia="Times New Roman" w:hAnsi="Calibri" w:cs="Calibri"/>
                <w:b/>
                <w:bCs/>
                <w:color w:val="000000"/>
                <w:lang w:eastAsia="en-GB"/>
              </w:rPr>
            </w:pPr>
            <w:r w:rsidRPr="0073679A">
              <w:rPr>
                <w:rFonts w:ascii="Calibri" w:eastAsia="Times New Roman" w:hAnsi="Calibri" w:cs="Calibri"/>
                <w:b/>
                <w:bCs/>
                <w:color w:val="000000"/>
                <w:lang w:eastAsia="en-GB"/>
              </w:rPr>
              <w:t>279693</w:t>
            </w:r>
          </w:p>
        </w:tc>
        <w:tc>
          <w:tcPr>
            <w:tcW w:w="960" w:type="dxa"/>
            <w:tcBorders>
              <w:top w:val="single" w:sz="4" w:space="0" w:color="auto"/>
              <w:left w:val="nil"/>
              <w:bottom w:val="single" w:sz="4" w:space="0" w:color="auto"/>
              <w:right w:val="nil"/>
            </w:tcBorders>
            <w:shd w:val="clear" w:color="auto" w:fill="auto"/>
            <w:noWrap/>
            <w:vAlign w:val="bottom"/>
            <w:hideMark/>
          </w:tcPr>
          <w:p w14:paraId="20F5C1FF" w14:textId="77777777" w:rsidR="00EE311F" w:rsidRPr="0073679A" w:rsidRDefault="00EE311F" w:rsidP="00515E57">
            <w:pPr>
              <w:spacing w:after="0" w:line="240" w:lineRule="auto"/>
              <w:jc w:val="center"/>
              <w:rPr>
                <w:rFonts w:ascii="Calibri" w:eastAsia="Times New Roman" w:hAnsi="Calibri" w:cs="Calibri"/>
                <w:b/>
                <w:bCs/>
                <w:color w:val="000000"/>
                <w:lang w:eastAsia="en-GB"/>
              </w:rPr>
            </w:pPr>
            <w:r w:rsidRPr="0073679A">
              <w:rPr>
                <w:rFonts w:ascii="Calibri" w:eastAsia="Times New Roman" w:hAnsi="Calibri" w:cs="Calibri"/>
                <w:b/>
                <w:bCs/>
                <w:color w:val="000000"/>
                <w:lang w:eastAsia="en-GB"/>
              </w:rPr>
              <w:t>279693</w:t>
            </w:r>
          </w:p>
        </w:tc>
        <w:tc>
          <w:tcPr>
            <w:tcW w:w="960" w:type="dxa"/>
            <w:tcBorders>
              <w:top w:val="single" w:sz="4" w:space="0" w:color="auto"/>
              <w:left w:val="nil"/>
              <w:bottom w:val="single" w:sz="4" w:space="0" w:color="auto"/>
              <w:right w:val="nil"/>
            </w:tcBorders>
            <w:shd w:val="clear" w:color="auto" w:fill="auto"/>
            <w:noWrap/>
            <w:vAlign w:val="bottom"/>
            <w:hideMark/>
          </w:tcPr>
          <w:p w14:paraId="0F2023AA" w14:textId="77777777" w:rsidR="00EE311F" w:rsidRPr="0073679A" w:rsidRDefault="00EE311F" w:rsidP="00515E57">
            <w:pPr>
              <w:spacing w:after="0" w:line="240" w:lineRule="auto"/>
              <w:jc w:val="center"/>
              <w:rPr>
                <w:rFonts w:ascii="Calibri" w:eastAsia="Times New Roman" w:hAnsi="Calibri" w:cs="Calibri"/>
                <w:b/>
                <w:bCs/>
                <w:color w:val="000000"/>
                <w:lang w:eastAsia="en-GB"/>
              </w:rPr>
            </w:pPr>
            <w:r w:rsidRPr="0073679A">
              <w:rPr>
                <w:rFonts w:ascii="Calibri" w:eastAsia="Times New Roman" w:hAnsi="Calibri" w:cs="Calibri"/>
                <w:b/>
                <w:bCs/>
                <w:color w:val="000000"/>
                <w:lang w:eastAsia="en-GB"/>
              </w:rPr>
              <w:t>276833</w:t>
            </w:r>
          </w:p>
        </w:tc>
      </w:tr>
      <w:tr w:rsidR="00EE311F" w:rsidRPr="0073679A" w14:paraId="0C1956F9" w14:textId="77777777" w:rsidTr="00515E57">
        <w:trPr>
          <w:trHeight w:val="290"/>
          <w:jc w:val="center"/>
        </w:trPr>
        <w:tc>
          <w:tcPr>
            <w:tcW w:w="2891" w:type="dxa"/>
            <w:tcBorders>
              <w:top w:val="nil"/>
              <w:left w:val="nil"/>
              <w:bottom w:val="nil"/>
              <w:right w:val="nil"/>
            </w:tcBorders>
            <w:shd w:val="clear" w:color="auto" w:fill="auto"/>
            <w:noWrap/>
            <w:vAlign w:val="bottom"/>
            <w:hideMark/>
          </w:tcPr>
          <w:p w14:paraId="59A923FC" w14:textId="77777777" w:rsidR="00EE311F" w:rsidRPr="0073679A" w:rsidRDefault="00EE311F" w:rsidP="00515E57">
            <w:pPr>
              <w:spacing w:after="0" w:line="240" w:lineRule="auto"/>
              <w:rPr>
                <w:rFonts w:ascii="Calibri" w:eastAsia="Times New Roman" w:hAnsi="Calibri" w:cs="Calibri"/>
                <w:color w:val="000000"/>
                <w:lang w:eastAsia="en-GB"/>
              </w:rPr>
            </w:pPr>
            <w:r w:rsidRPr="0073679A">
              <w:rPr>
                <w:rFonts w:ascii="Calibri" w:eastAsia="Times New Roman" w:hAnsi="Calibri" w:cs="Calibri"/>
                <w:color w:val="000000"/>
                <w:lang w:eastAsia="en-GB"/>
              </w:rPr>
              <w:t>Controls</w:t>
            </w:r>
          </w:p>
        </w:tc>
        <w:tc>
          <w:tcPr>
            <w:tcW w:w="960" w:type="dxa"/>
            <w:tcBorders>
              <w:top w:val="nil"/>
              <w:left w:val="nil"/>
              <w:bottom w:val="nil"/>
              <w:right w:val="nil"/>
            </w:tcBorders>
            <w:shd w:val="clear" w:color="auto" w:fill="auto"/>
            <w:noWrap/>
            <w:vAlign w:val="bottom"/>
            <w:hideMark/>
          </w:tcPr>
          <w:p w14:paraId="48D6646C" w14:textId="77777777" w:rsidR="00EE311F" w:rsidRPr="0073679A" w:rsidRDefault="00EE311F" w:rsidP="00515E57">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3D74FF6" w14:textId="77777777" w:rsidR="00EE311F" w:rsidRPr="0073679A" w:rsidRDefault="00EE311F" w:rsidP="00515E57">
            <w:pPr>
              <w:spacing w:after="0" w:line="240" w:lineRule="auto"/>
              <w:jc w:val="cente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6236A35" w14:textId="77777777" w:rsidR="00EE311F" w:rsidRPr="0073679A" w:rsidRDefault="00EE311F" w:rsidP="00515E57">
            <w:pPr>
              <w:spacing w:after="0" w:line="240" w:lineRule="auto"/>
              <w:jc w:val="cente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27AE44ED" w14:textId="77777777" w:rsidR="00EE311F" w:rsidRPr="0073679A" w:rsidRDefault="00EE311F" w:rsidP="00515E57">
            <w:pPr>
              <w:spacing w:after="0" w:line="240" w:lineRule="auto"/>
              <w:jc w:val="cente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397117C" w14:textId="77777777" w:rsidR="00EE311F" w:rsidRPr="0073679A" w:rsidRDefault="00EE311F" w:rsidP="00515E57">
            <w:pPr>
              <w:spacing w:after="0" w:line="240" w:lineRule="auto"/>
              <w:jc w:val="cente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586B6A3" w14:textId="77777777" w:rsidR="00EE311F" w:rsidRPr="0073679A" w:rsidRDefault="00EE311F" w:rsidP="00515E57">
            <w:pPr>
              <w:spacing w:after="0" w:line="240" w:lineRule="auto"/>
              <w:jc w:val="center"/>
              <w:rPr>
                <w:rFonts w:ascii="Times New Roman" w:eastAsia="Times New Roman" w:hAnsi="Times New Roman" w:cs="Times New Roman"/>
                <w:sz w:val="20"/>
                <w:szCs w:val="20"/>
                <w:lang w:eastAsia="en-GB"/>
              </w:rPr>
            </w:pPr>
          </w:p>
        </w:tc>
      </w:tr>
      <w:tr w:rsidR="00EE311F" w:rsidRPr="0073679A" w14:paraId="6A38B070" w14:textId="77777777" w:rsidTr="00515E57">
        <w:trPr>
          <w:trHeight w:val="290"/>
          <w:jc w:val="center"/>
        </w:trPr>
        <w:tc>
          <w:tcPr>
            <w:tcW w:w="2891" w:type="dxa"/>
            <w:tcBorders>
              <w:top w:val="nil"/>
              <w:left w:val="nil"/>
              <w:bottom w:val="nil"/>
              <w:right w:val="nil"/>
            </w:tcBorders>
            <w:shd w:val="clear" w:color="auto" w:fill="auto"/>
            <w:noWrap/>
            <w:vAlign w:val="bottom"/>
            <w:hideMark/>
          </w:tcPr>
          <w:p w14:paraId="432A3412" w14:textId="77777777" w:rsidR="00EE311F" w:rsidRPr="0073679A" w:rsidRDefault="00EE311F" w:rsidP="00515E57">
            <w:pPr>
              <w:spacing w:after="0" w:line="240" w:lineRule="auto"/>
              <w:rPr>
                <w:rFonts w:ascii="Calibri" w:eastAsia="Times New Roman" w:hAnsi="Calibri" w:cs="Calibri"/>
                <w:color w:val="000000"/>
                <w:lang w:eastAsia="en-GB"/>
              </w:rPr>
            </w:pPr>
            <w:r w:rsidRPr="0073679A">
              <w:rPr>
                <w:rFonts w:ascii="Calibri" w:eastAsia="Times New Roman" w:hAnsi="Calibri" w:cs="Calibri"/>
                <w:color w:val="000000"/>
                <w:lang w:eastAsia="en-GB"/>
              </w:rPr>
              <w:t>Gender</w:t>
            </w:r>
          </w:p>
        </w:tc>
        <w:tc>
          <w:tcPr>
            <w:tcW w:w="960" w:type="dxa"/>
            <w:tcBorders>
              <w:top w:val="nil"/>
              <w:left w:val="nil"/>
              <w:bottom w:val="nil"/>
              <w:right w:val="nil"/>
            </w:tcBorders>
            <w:shd w:val="clear" w:color="auto" w:fill="auto"/>
            <w:noWrap/>
            <w:vAlign w:val="bottom"/>
            <w:hideMark/>
          </w:tcPr>
          <w:p w14:paraId="451C776C"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701E3EC0"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c>
          <w:tcPr>
            <w:tcW w:w="960" w:type="dxa"/>
            <w:tcBorders>
              <w:top w:val="nil"/>
              <w:left w:val="nil"/>
              <w:bottom w:val="nil"/>
              <w:right w:val="nil"/>
            </w:tcBorders>
            <w:shd w:val="clear" w:color="auto" w:fill="auto"/>
            <w:noWrap/>
            <w:vAlign w:val="bottom"/>
            <w:hideMark/>
          </w:tcPr>
          <w:p w14:paraId="535A47C1"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c>
          <w:tcPr>
            <w:tcW w:w="960" w:type="dxa"/>
            <w:tcBorders>
              <w:top w:val="nil"/>
              <w:left w:val="nil"/>
              <w:bottom w:val="nil"/>
              <w:right w:val="nil"/>
            </w:tcBorders>
            <w:shd w:val="clear" w:color="auto" w:fill="auto"/>
            <w:noWrap/>
            <w:vAlign w:val="bottom"/>
            <w:hideMark/>
          </w:tcPr>
          <w:p w14:paraId="497FA8A1"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c>
          <w:tcPr>
            <w:tcW w:w="960" w:type="dxa"/>
            <w:tcBorders>
              <w:top w:val="nil"/>
              <w:left w:val="nil"/>
              <w:bottom w:val="nil"/>
              <w:right w:val="nil"/>
            </w:tcBorders>
            <w:shd w:val="clear" w:color="auto" w:fill="auto"/>
            <w:noWrap/>
            <w:vAlign w:val="bottom"/>
            <w:hideMark/>
          </w:tcPr>
          <w:p w14:paraId="41750972"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c>
          <w:tcPr>
            <w:tcW w:w="960" w:type="dxa"/>
            <w:tcBorders>
              <w:top w:val="nil"/>
              <w:left w:val="nil"/>
              <w:bottom w:val="nil"/>
              <w:right w:val="nil"/>
            </w:tcBorders>
            <w:shd w:val="clear" w:color="auto" w:fill="auto"/>
            <w:noWrap/>
            <w:vAlign w:val="bottom"/>
            <w:hideMark/>
          </w:tcPr>
          <w:p w14:paraId="41F835E7"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r>
      <w:tr w:rsidR="00EE311F" w:rsidRPr="0073679A" w14:paraId="4765DA3E" w14:textId="77777777" w:rsidTr="00515E57">
        <w:trPr>
          <w:trHeight w:val="290"/>
          <w:jc w:val="center"/>
        </w:trPr>
        <w:tc>
          <w:tcPr>
            <w:tcW w:w="2891" w:type="dxa"/>
            <w:tcBorders>
              <w:top w:val="nil"/>
              <w:left w:val="nil"/>
              <w:bottom w:val="nil"/>
              <w:right w:val="nil"/>
            </w:tcBorders>
            <w:shd w:val="clear" w:color="auto" w:fill="auto"/>
            <w:noWrap/>
            <w:vAlign w:val="bottom"/>
            <w:hideMark/>
          </w:tcPr>
          <w:p w14:paraId="1BD5AA82" w14:textId="77777777" w:rsidR="00EE311F" w:rsidRPr="0073679A" w:rsidRDefault="00EE311F" w:rsidP="00515E57">
            <w:pPr>
              <w:spacing w:after="0" w:line="240" w:lineRule="auto"/>
              <w:rPr>
                <w:rFonts w:ascii="Calibri" w:eastAsia="Times New Roman" w:hAnsi="Calibri" w:cs="Calibri"/>
                <w:color w:val="000000"/>
                <w:lang w:eastAsia="en-GB"/>
              </w:rPr>
            </w:pPr>
            <w:r w:rsidRPr="0073679A">
              <w:rPr>
                <w:rFonts w:ascii="Calibri" w:eastAsia="Times New Roman" w:hAnsi="Calibri" w:cs="Calibri"/>
                <w:color w:val="000000"/>
                <w:lang w:eastAsia="en-GB"/>
              </w:rPr>
              <w:t>Ethnic group</w:t>
            </w:r>
          </w:p>
        </w:tc>
        <w:tc>
          <w:tcPr>
            <w:tcW w:w="960" w:type="dxa"/>
            <w:tcBorders>
              <w:top w:val="nil"/>
              <w:left w:val="nil"/>
              <w:bottom w:val="nil"/>
              <w:right w:val="nil"/>
            </w:tcBorders>
            <w:shd w:val="clear" w:color="auto" w:fill="auto"/>
            <w:noWrap/>
            <w:vAlign w:val="bottom"/>
            <w:hideMark/>
          </w:tcPr>
          <w:p w14:paraId="6EFAED54"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2B6FA0E2"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c>
          <w:tcPr>
            <w:tcW w:w="960" w:type="dxa"/>
            <w:tcBorders>
              <w:top w:val="nil"/>
              <w:left w:val="nil"/>
              <w:bottom w:val="nil"/>
              <w:right w:val="nil"/>
            </w:tcBorders>
            <w:shd w:val="clear" w:color="auto" w:fill="auto"/>
            <w:noWrap/>
            <w:vAlign w:val="bottom"/>
            <w:hideMark/>
          </w:tcPr>
          <w:p w14:paraId="747BD132"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c>
          <w:tcPr>
            <w:tcW w:w="960" w:type="dxa"/>
            <w:tcBorders>
              <w:top w:val="nil"/>
              <w:left w:val="nil"/>
              <w:bottom w:val="nil"/>
              <w:right w:val="nil"/>
            </w:tcBorders>
            <w:shd w:val="clear" w:color="auto" w:fill="auto"/>
            <w:noWrap/>
            <w:vAlign w:val="bottom"/>
            <w:hideMark/>
          </w:tcPr>
          <w:p w14:paraId="4D1555DD"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c>
          <w:tcPr>
            <w:tcW w:w="960" w:type="dxa"/>
            <w:tcBorders>
              <w:top w:val="nil"/>
              <w:left w:val="nil"/>
              <w:bottom w:val="nil"/>
              <w:right w:val="nil"/>
            </w:tcBorders>
            <w:shd w:val="clear" w:color="auto" w:fill="auto"/>
            <w:noWrap/>
            <w:vAlign w:val="bottom"/>
            <w:hideMark/>
          </w:tcPr>
          <w:p w14:paraId="468BCBF0"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c>
          <w:tcPr>
            <w:tcW w:w="960" w:type="dxa"/>
            <w:tcBorders>
              <w:top w:val="nil"/>
              <w:left w:val="nil"/>
              <w:bottom w:val="nil"/>
              <w:right w:val="nil"/>
            </w:tcBorders>
            <w:shd w:val="clear" w:color="auto" w:fill="auto"/>
            <w:noWrap/>
            <w:vAlign w:val="bottom"/>
            <w:hideMark/>
          </w:tcPr>
          <w:p w14:paraId="7C1B890E"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r>
      <w:tr w:rsidR="00EE311F" w:rsidRPr="0073679A" w14:paraId="2DDB34CE" w14:textId="77777777" w:rsidTr="00515E57">
        <w:trPr>
          <w:trHeight w:val="290"/>
          <w:jc w:val="center"/>
        </w:trPr>
        <w:tc>
          <w:tcPr>
            <w:tcW w:w="2891" w:type="dxa"/>
            <w:tcBorders>
              <w:top w:val="nil"/>
              <w:left w:val="nil"/>
              <w:bottom w:val="nil"/>
              <w:right w:val="nil"/>
            </w:tcBorders>
            <w:shd w:val="clear" w:color="auto" w:fill="auto"/>
            <w:noWrap/>
            <w:vAlign w:val="bottom"/>
            <w:hideMark/>
          </w:tcPr>
          <w:p w14:paraId="2972559D" w14:textId="77777777" w:rsidR="00EE311F" w:rsidRPr="0073679A" w:rsidRDefault="00EE311F" w:rsidP="00515E57">
            <w:pPr>
              <w:spacing w:after="0" w:line="240" w:lineRule="auto"/>
              <w:rPr>
                <w:rFonts w:ascii="Calibri" w:eastAsia="Times New Roman" w:hAnsi="Calibri" w:cs="Calibri"/>
                <w:color w:val="000000"/>
                <w:lang w:eastAsia="en-GB"/>
              </w:rPr>
            </w:pPr>
            <w:r w:rsidRPr="0073679A">
              <w:rPr>
                <w:rFonts w:ascii="Calibri" w:eastAsia="Times New Roman" w:hAnsi="Calibri" w:cs="Calibri"/>
                <w:color w:val="000000"/>
                <w:lang w:eastAsia="en-GB"/>
              </w:rPr>
              <w:t>KS1 maths scores</w:t>
            </w:r>
          </w:p>
        </w:tc>
        <w:tc>
          <w:tcPr>
            <w:tcW w:w="960" w:type="dxa"/>
            <w:tcBorders>
              <w:top w:val="nil"/>
              <w:left w:val="nil"/>
              <w:bottom w:val="nil"/>
              <w:right w:val="nil"/>
            </w:tcBorders>
            <w:shd w:val="clear" w:color="auto" w:fill="auto"/>
            <w:noWrap/>
            <w:vAlign w:val="bottom"/>
            <w:hideMark/>
          </w:tcPr>
          <w:p w14:paraId="224B40C1"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3BFFE1FD"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c>
          <w:tcPr>
            <w:tcW w:w="960" w:type="dxa"/>
            <w:tcBorders>
              <w:top w:val="nil"/>
              <w:left w:val="nil"/>
              <w:bottom w:val="nil"/>
              <w:right w:val="nil"/>
            </w:tcBorders>
            <w:shd w:val="clear" w:color="auto" w:fill="auto"/>
            <w:noWrap/>
            <w:vAlign w:val="bottom"/>
            <w:hideMark/>
          </w:tcPr>
          <w:p w14:paraId="628D7163"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c>
          <w:tcPr>
            <w:tcW w:w="960" w:type="dxa"/>
            <w:tcBorders>
              <w:top w:val="nil"/>
              <w:left w:val="nil"/>
              <w:bottom w:val="nil"/>
              <w:right w:val="nil"/>
            </w:tcBorders>
            <w:shd w:val="clear" w:color="auto" w:fill="auto"/>
            <w:noWrap/>
            <w:vAlign w:val="bottom"/>
            <w:hideMark/>
          </w:tcPr>
          <w:p w14:paraId="6743D1EE"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c>
          <w:tcPr>
            <w:tcW w:w="960" w:type="dxa"/>
            <w:tcBorders>
              <w:top w:val="nil"/>
              <w:left w:val="nil"/>
              <w:bottom w:val="nil"/>
              <w:right w:val="nil"/>
            </w:tcBorders>
            <w:shd w:val="clear" w:color="auto" w:fill="auto"/>
            <w:noWrap/>
            <w:vAlign w:val="bottom"/>
            <w:hideMark/>
          </w:tcPr>
          <w:p w14:paraId="2FD9980A"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c>
          <w:tcPr>
            <w:tcW w:w="960" w:type="dxa"/>
            <w:tcBorders>
              <w:top w:val="nil"/>
              <w:left w:val="nil"/>
              <w:bottom w:val="nil"/>
              <w:right w:val="nil"/>
            </w:tcBorders>
            <w:shd w:val="clear" w:color="auto" w:fill="auto"/>
            <w:noWrap/>
            <w:vAlign w:val="bottom"/>
            <w:hideMark/>
          </w:tcPr>
          <w:p w14:paraId="49AA85C8"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r>
      <w:tr w:rsidR="00EE311F" w:rsidRPr="0073679A" w14:paraId="5EC99A98" w14:textId="77777777" w:rsidTr="00515E57">
        <w:trPr>
          <w:trHeight w:val="290"/>
          <w:jc w:val="center"/>
        </w:trPr>
        <w:tc>
          <w:tcPr>
            <w:tcW w:w="2891" w:type="dxa"/>
            <w:tcBorders>
              <w:top w:val="nil"/>
              <w:left w:val="nil"/>
              <w:bottom w:val="nil"/>
              <w:right w:val="nil"/>
            </w:tcBorders>
            <w:shd w:val="clear" w:color="auto" w:fill="auto"/>
            <w:noWrap/>
            <w:vAlign w:val="bottom"/>
            <w:hideMark/>
          </w:tcPr>
          <w:p w14:paraId="4D8592EF" w14:textId="77777777" w:rsidR="00EE311F" w:rsidRPr="0073679A" w:rsidRDefault="00EE311F" w:rsidP="00515E57">
            <w:pPr>
              <w:spacing w:after="0" w:line="240" w:lineRule="auto"/>
              <w:rPr>
                <w:rFonts w:ascii="Calibri" w:eastAsia="Times New Roman" w:hAnsi="Calibri" w:cs="Calibri"/>
                <w:color w:val="000000"/>
                <w:lang w:eastAsia="en-GB"/>
              </w:rPr>
            </w:pPr>
            <w:r w:rsidRPr="0073679A">
              <w:rPr>
                <w:rFonts w:ascii="Calibri" w:eastAsia="Times New Roman" w:hAnsi="Calibri" w:cs="Calibri"/>
                <w:color w:val="000000"/>
                <w:lang w:eastAsia="en-GB"/>
              </w:rPr>
              <w:t>Cohort</w:t>
            </w:r>
          </w:p>
        </w:tc>
        <w:tc>
          <w:tcPr>
            <w:tcW w:w="960" w:type="dxa"/>
            <w:tcBorders>
              <w:top w:val="nil"/>
              <w:left w:val="nil"/>
              <w:bottom w:val="nil"/>
              <w:right w:val="nil"/>
            </w:tcBorders>
            <w:shd w:val="clear" w:color="auto" w:fill="auto"/>
            <w:noWrap/>
            <w:vAlign w:val="bottom"/>
            <w:hideMark/>
          </w:tcPr>
          <w:p w14:paraId="1862BB56"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1EB983EC"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c>
          <w:tcPr>
            <w:tcW w:w="960" w:type="dxa"/>
            <w:tcBorders>
              <w:top w:val="nil"/>
              <w:left w:val="nil"/>
              <w:bottom w:val="nil"/>
              <w:right w:val="nil"/>
            </w:tcBorders>
            <w:shd w:val="clear" w:color="auto" w:fill="auto"/>
            <w:noWrap/>
            <w:vAlign w:val="bottom"/>
            <w:hideMark/>
          </w:tcPr>
          <w:p w14:paraId="4E06B89E"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c>
          <w:tcPr>
            <w:tcW w:w="960" w:type="dxa"/>
            <w:tcBorders>
              <w:top w:val="nil"/>
              <w:left w:val="nil"/>
              <w:bottom w:val="nil"/>
              <w:right w:val="nil"/>
            </w:tcBorders>
            <w:shd w:val="clear" w:color="auto" w:fill="auto"/>
            <w:noWrap/>
            <w:vAlign w:val="bottom"/>
            <w:hideMark/>
          </w:tcPr>
          <w:p w14:paraId="72E574F7"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c>
          <w:tcPr>
            <w:tcW w:w="960" w:type="dxa"/>
            <w:tcBorders>
              <w:top w:val="nil"/>
              <w:left w:val="nil"/>
              <w:bottom w:val="nil"/>
              <w:right w:val="nil"/>
            </w:tcBorders>
            <w:shd w:val="clear" w:color="auto" w:fill="auto"/>
            <w:noWrap/>
            <w:vAlign w:val="bottom"/>
            <w:hideMark/>
          </w:tcPr>
          <w:p w14:paraId="67C51353"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c>
          <w:tcPr>
            <w:tcW w:w="960" w:type="dxa"/>
            <w:tcBorders>
              <w:top w:val="nil"/>
              <w:left w:val="nil"/>
              <w:bottom w:val="nil"/>
              <w:right w:val="nil"/>
            </w:tcBorders>
            <w:shd w:val="clear" w:color="auto" w:fill="auto"/>
            <w:noWrap/>
            <w:vAlign w:val="bottom"/>
            <w:hideMark/>
          </w:tcPr>
          <w:p w14:paraId="0E835110"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r>
      <w:tr w:rsidR="00EE311F" w:rsidRPr="0073679A" w14:paraId="726E5610" w14:textId="77777777" w:rsidTr="00515E57">
        <w:trPr>
          <w:trHeight w:val="290"/>
          <w:jc w:val="center"/>
        </w:trPr>
        <w:tc>
          <w:tcPr>
            <w:tcW w:w="2891" w:type="dxa"/>
            <w:tcBorders>
              <w:top w:val="nil"/>
              <w:left w:val="nil"/>
              <w:bottom w:val="nil"/>
              <w:right w:val="nil"/>
            </w:tcBorders>
            <w:shd w:val="clear" w:color="auto" w:fill="auto"/>
            <w:noWrap/>
            <w:vAlign w:val="bottom"/>
            <w:hideMark/>
          </w:tcPr>
          <w:p w14:paraId="773C9381" w14:textId="77777777" w:rsidR="00EE311F" w:rsidRPr="0073679A" w:rsidRDefault="00EE311F" w:rsidP="00515E57">
            <w:pPr>
              <w:spacing w:after="0" w:line="240" w:lineRule="auto"/>
              <w:rPr>
                <w:rFonts w:ascii="Calibri" w:eastAsia="Times New Roman" w:hAnsi="Calibri" w:cs="Calibri"/>
                <w:color w:val="000000"/>
                <w:lang w:eastAsia="en-GB"/>
              </w:rPr>
            </w:pPr>
            <w:r w:rsidRPr="0073679A">
              <w:rPr>
                <w:rFonts w:ascii="Calibri" w:eastAsia="Times New Roman" w:hAnsi="Calibri" w:cs="Calibri"/>
                <w:color w:val="000000"/>
                <w:lang w:eastAsia="en-GB"/>
              </w:rPr>
              <w:t>KS2 scores</w:t>
            </w:r>
          </w:p>
        </w:tc>
        <w:tc>
          <w:tcPr>
            <w:tcW w:w="960" w:type="dxa"/>
            <w:tcBorders>
              <w:top w:val="nil"/>
              <w:left w:val="nil"/>
              <w:bottom w:val="nil"/>
              <w:right w:val="nil"/>
            </w:tcBorders>
            <w:shd w:val="clear" w:color="auto" w:fill="auto"/>
            <w:noWrap/>
            <w:vAlign w:val="bottom"/>
            <w:hideMark/>
          </w:tcPr>
          <w:p w14:paraId="69F3B758"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45CD91FF"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c>
          <w:tcPr>
            <w:tcW w:w="960" w:type="dxa"/>
            <w:tcBorders>
              <w:top w:val="nil"/>
              <w:left w:val="nil"/>
              <w:bottom w:val="nil"/>
              <w:right w:val="nil"/>
            </w:tcBorders>
            <w:shd w:val="clear" w:color="auto" w:fill="auto"/>
            <w:noWrap/>
            <w:vAlign w:val="bottom"/>
            <w:hideMark/>
          </w:tcPr>
          <w:p w14:paraId="7A66B41B"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c>
          <w:tcPr>
            <w:tcW w:w="960" w:type="dxa"/>
            <w:tcBorders>
              <w:top w:val="nil"/>
              <w:left w:val="nil"/>
              <w:bottom w:val="nil"/>
              <w:right w:val="nil"/>
            </w:tcBorders>
            <w:shd w:val="clear" w:color="auto" w:fill="auto"/>
            <w:noWrap/>
            <w:vAlign w:val="bottom"/>
            <w:hideMark/>
          </w:tcPr>
          <w:p w14:paraId="51187328"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c>
          <w:tcPr>
            <w:tcW w:w="960" w:type="dxa"/>
            <w:tcBorders>
              <w:top w:val="nil"/>
              <w:left w:val="nil"/>
              <w:bottom w:val="nil"/>
              <w:right w:val="nil"/>
            </w:tcBorders>
            <w:shd w:val="clear" w:color="auto" w:fill="auto"/>
            <w:noWrap/>
            <w:vAlign w:val="bottom"/>
            <w:hideMark/>
          </w:tcPr>
          <w:p w14:paraId="3206AF68"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c>
          <w:tcPr>
            <w:tcW w:w="960" w:type="dxa"/>
            <w:tcBorders>
              <w:top w:val="nil"/>
              <w:left w:val="nil"/>
              <w:bottom w:val="nil"/>
              <w:right w:val="nil"/>
            </w:tcBorders>
            <w:shd w:val="clear" w:color="auto" w:fill="auto"/>
            <w:noWrap/>
            <w:vAlign w:val="bottom"/>
            <w:hideMark/>
          </w:tcPr>
          <w:p w14:paraId="4583F582"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r>
      <w:tr w:rsidR="00EE311F" w:rsidRPr="0073679A" w14:paraId="0E583B9B" w14:textId="77777777" w:rsidTr="00515E57">
        <w:trPr>
          <w:trHeight w:val="290"/>
          <w:jc w:val="center"/>
        </w:trPr>
        <w:tc>
          <w:tcPr>
            <w:tcW w:w="2891" w:type="dxa"/>
            <w:tcBorders>
              <w:top w:val="nil"/>
              <w:left w:val="nil"/>
              <w:bottom w:val="nil"/>
              <w:right w:val="nil"/>
            </w:tcBorders>
            <w:shd w:val="clear" w:color="auto" w:fill="auto"/>
            <w:noWrap/>
            <w:vAlign w:val="bottom"/>
            <w:hideMark/>
          </w:tcPr>
          <w:p w14:paraId="0DE89BDA" w14:textId="77777777" w:rsidR="00EE311F" w:rsidRPr="0073679A" w:rsidRDefault="00EE311F" w:rsidP="00515E57">
            <w:pPr>
              <w:spacing w:after="0" w:line="240" w:lineRule="auto"/>
              <w:rPr>
                <w:rFonts w:ascii="Calibri" w:eastAsia="Times New Roman" w:hAnsi="Calibri" w:cs="Calibri"/>
                <w:color w:val="000000"/>
                <w:lang w:eastAsia="en-GB"/>
              </w:rPr>
            </w:pPr>
            <w:r w:rsidRPr="0073679A">
              <w:rPr>
                <w:rFonts w:ascii="Calibri" w:eastAsia="Times New Roman" w:hAnsi="Calibri" w:cs="Calibri"/>
                <w:color w:val="000000"/>
                <w:lang w:eastAsia="en-GB"/>
              </w:rPr>
              <w:t>School absences</w:t>
            </w:r>
          </w:p>
        </w:tc>
        <w:tc>
          <w:tcPr>
            <w:tcW w:w="960" w:type="dxa"/>
            <w:tcBorders>
              <w:top w:val="nil"/>
              <w:left w:val="nil"/>
              <w:bottom w:val="nil"/>
              <w:right w:val="nil"/>
            </w:tcBorders>
            <w:shd w:val="clear" w:color="auto" w:fill="auto"/>
            <w:noWrap/>
            <w:vAlign w:val="bottom"/>
            <w:hideMark/>
          </w:tcPr>
          <w:p w14:paraId="2FAFAD5F"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019AF1AD"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30363D5C"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c>
          <w:tcPr>
            <w:tcW w:w="960" w:type="dxa"/>
            <w:tcBorders>
              <w:top w:val="nil"/>
              <w:left w:val="nil"/>
              <w:bottom w:val="nil"/>
              <w:right w:val="nil"/>
            </w:tcBorders>
            <w:shd w:val="clear" w:color="auto" w:fill="auto"/>
            <w:noWrap/>
            <w:vAlign w:val="bottom"/>
            <w:hideMark/>
          </w:tcPr>
          <w:p w14:paraId="2BDCBF27"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c>
          <w:tcPr>
            <w:tcW w:w="960" w:type="dxa"/>
            <w:tcBorders>
              <w:top w:val="nil"/>
              <w:left w:val="nil"/>
              <w:bottom w:val="nil"/>
              <w:right w:val="nil"/>
            </w:tcBorders>
            <w:shd w:val="clear" w:color="auto" w:fill="auto"/>
            <w:noWrap/>
            <w:vAlign w:val="bottom"/>
            <w:hideMark/>
          </w:tcPr>
          <w:p w14:paraId="4E9DFA25"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c>
          <w:tcPr>
            <w:tcW w:w="960" w:type="dxa"/>
            <w:tcBorders>
              <w:top w:val="nil"/>
              <w:left w:val="nil"/>
              <w:bottom w:val="nil"/>
              <w:right w:val="nil"/>
            </w:tcBorders>
            <w:shd w:val="clear" w:color="auto" w:fill="auto"/>
            <w:noWrap/>
            <w:vAlign w:val="bottom"/>
            <w:hideMark/>
          </w:tcPr>
          <w:p w14:paraId="1D923DC4"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r>
      <w:tr w:rsidR="00EE311F" w:rsidRPr="0073679A" w14:paraId="0D4AA0F3" w14:textId="77777777" w:rsidTr="00515E57">
        <w:trPr>
          <w:trHeight w:val="290"/>
          <w:jc w:val="center"/>
        </w:trPr>
        <w:tc>
          <w:tcPr>
            <w:tcW w:w="2891" w:type="dxa"/>
            <w:tcBorders>
              <w:top w:val="nil"/>
              <w:left w:val="nil"/>
              <w:bottom w:val="nil"/>
              <w:right w:val="nil"/>
            </w:tcBorders>
            <w:shd w:val="clear" w:color="auto" w:fill="auto"/>
            <w:noWrap/>
            <w:vAlign w:val="bottom"/>
            <w:hideMark/>
          </w:tcPr>
          <w:p w14:paraId="69F37403" w14:textId="77777777" w:rsidR="00EE311F" w:rsidRPr="0073679A" w:rsidRDefault="00EE311F" w:rsidP="00515E57">
            <w:pPr>
              <w:spacing w:after="0" w:line="240" w:lineRule="auto"/>
              <w:rPr>
                <w:rFonts w:ascii="Calibri" w:eastAsia="Times New Roman" w:hAnsi="Calibri" w:cs="Calibri"/>
                <w:color w:val="000000"/>
                <w:lang w:eastAsia="en-GB"/>
              </w:rPr>
            </w:pPr>
            <w:r w:rsidRPr="0073679A">
              <w:rPr>
                <w:rFonts w:ascii="Calibri" w:eastAsia="Times New Roman" w:hAnsi="Calibri" w:cs="Calibri"/>
                <w:color w:val="000000"/>
                <w:lang w:eastAsia="en-GB"/>
              </w:rPr>
              <w:t>School exclusions</w:t>
            </w:r>
          </w:p>
        </w:tc>
        <w:tc>
          <w:tcPr>
            <w:tcW w:w="960" w:type="dxa"/>
            <w:tcBorders>
              <w:top w:val="nil"/>
              <w:left w:val="nil"/>
              <w:bottom w:val="nil"/>
              <w:right w:val="nil"/>
            </w:tcBorders>
            <w:shd w:val="clear" w:color="auto" w:fill="auto"/>
            <w:noWrap/>
            <w:vAlign w:val="bottom"/>
            <w:hideMark/>
          </w:tcPr>
          <w:p w14:paraId="3BB6749A"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61A405CB"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6C7F3262"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66BCBA2F"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c>
          <w:tcPr>
            <w:tcW w:w="960" w:type="dxa"/>
            <w:tcBorders>
              <w:top w:val="nil"/>
              <w:left w:val="nil"/>
              <w:bottom w:val="nil"/>
              <w:right w:val="nil"/>
            </w:tcBorders>
            <w:shd w:val="clear" w:color="auto" w:fill="auto"/>
            <w:noWrap/>
            <w:vAlign w:val="bottom"/>
            <w:hideMark/>
          </w:tcPr>
          <w:p w14:paraId="713F7C28"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c>
          <w:tcPr>
            <w:tcW w:w="960" w:type="dxa"/>
            <w:tcBorders>
              <w:top w:val="nil"/>
              <w:left w:val="nil"/>
              <w:bottom w:val="nil"/>
              <w:right w:val="nil"/>
            </w:tcBorders>
            <w:shd w:val="clear" w:color="auto" w:fill="auto"/>
            <w:noWrap/>
            <w:vAlign w:val="bottom"/>
            <w:hideMark/>
          </w:tcPr>
          <w:p w14:paraId="2B8AF7A1"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r>
      <w:tr w:rsidR="00EE311F" w:rsidRPr="0073679A" w14:paraId="1967CB87" w14:textId="77777777" w:rsidTr="00515E57">
        <w:trPr>
          <w:trHeight w:val="290"/>
          <w:jc w:val="center"/>
        </w:trPr>
        <w:tc>
          <w:tcPr>
            <w:tcW w:w="2891" w:type="dxa"/>
            <w:tcBorders>
              <w:top w:val="nil"/>
              <w:left w:val="nil"/>
              <w:bottom w:val="nil"/>
              <w:right w:val="nil"/>
            </w:tcBorders>
            <w:shd w:val="clear" w:color="auto" w:fill="auto"/>
            <w:noWrap/>
            <w:vAlign w:val="bottom"/>
            <w:hideMark/>
          </w:tcPr>
          <w:p w14:paraId="030D4C5E" w14:textId="77777777" w:rsidR="00EE311F" w:rsidRPr="0073679A" w:rsidRDefault="00EE311F" w:rsidP="00515E57">
            <w:pPr>
              <w:spacing w:after="0" w:line="240" w:lineRule="auto"/>
              <w:rPr>
                <w:rFonts w:ascii="Calibri" w:eastAsia="Times New Roman" w:hAnsi="Calibri" w:cs="Calibri"/>
                <w:color w:val="000000"/>
                <w:lang w:eastAsia="en-GB"/>
              </w:rPr>
            </w:pPr>
            <w:r w:rsidRPr="0073679A">
              <w:rPr>
                <w:rFonts w:ascii="Calibri" w:eastAsia="Times New Roman" w:hAnsi="Calibri" w:cs="Calibri"/>
                <w:color w:val="000000"/>
                <w:lang w:eastAsia="en-GB"/>
              </w:rPr>
              <w:t xml:space="preserve">School </w:t>
            </w:r>
            <w:r>
              <w:rPr>
                <w:rFonts w:ascii="Calibri" w:eastAsia="Times New Roman" w:hAnsi="Calibri" w:cs="Calibri"/>
                <w:color w:val="000000"/>
                <w:lang w:eastAsia="en-GB"/>
              </w:rPr>
              <w:t>cautions/sentences</w:t>
            </w:r>
          </w:p>
        </w:tc>
        <w:tc>
          <w:tcPr>
            <w:tcW w:w="960" w:type="dxa"/>
            <w:tcBorders>
              <w:top w:val="nil"/>
              <w:left w:val="nil"/>
              <w:bottom w:val="nil"/>
              <w:right w:val="nil"/>
            </w:tcBorders>
            <w:shd w:val="clear" w:color="auto" w:fill="auto"/>
            <w:noWrap/>
            <w:vAlign w:val="bottom"/>
            <w:hideMark/>
          </w:tcPr>
          <w:p w14:paraId="30376D91"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59732F17"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32E266EA"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3292E584"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14:paraId="487BCFDF"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c>
          <w:tcPr>
            <w:tcW w:w="960" w:type="dxa"/>
            <w:tcBorders>
              <w:top w:val="nil"/>
              <w:left w:val="nil"/>
              <w:bottom w:val="nil"/>
              <w:right w:val="nil"/>
            </w:tcBorders>
            <w:shd w:val="clear" w:color="auto" w:fill="auto"/>
            <w:noWrap/>
            <w:vAlign w:val="bottom"/>
            <w:hideMark/>
          </w:tcPr>
          <w:p w14:paraId="50E26C76"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r>
      <w:tr w:rsidR="00EE311F" w:rsidRPr="0073679A" w14:paraId="6D38E1DB" w14:textId="77777777" w:rsidTr="00515E57">
        <w:trPr>
          <w:trHeight w:val="290"/>
          <w:jc w:val="center"/>
        </w:trPr>
        <w:tc>
          <w:tcPr>
            <w:tcW w:w="2891" w:type="dxa"/>
            <w:tcBorders>
              <w:top w:val="nil"/>
              <w:left w:val="nil"/>
              <w:bottom w:val="single" w:sz="4" w:space="0" w:color="auto"/>
              <w:right w:val="nil"/>
            </w:tcBorders>
            <w:shd w:val="clear" w:color="auto" w:fill="auto"/>
            <w:noWrap/>
            <w:vAlign w:val="bottom"/>
            <w:hideMark/>
          </w:tcPr>
          <w:p w14:paraId="3DF7B9A8" w14:textId="77777777" w:rsidR="00EE311F" w:rsidRPr="0073679A" w:rsidRDefault="00EE311F" w:rsidP="00515E57">
            <w:pPr>
              <w:spacing w:after="0" w:line="240" w:lineRule="auto"/>
              <w:rPr>
                <w:rFonts w:ascii="Calibri" w:eastAsia="Times New Roman" w:hAnsi="Calibri" w:cs="Calibri"/>
                <w:color w:val="000000"/>
                <w:lang w:eastAsia="en-GB"/>
              </w:rPr>
            </w:pPr>
            <w:r w:rsidRPr="0073679A">
              <w:rPr>
                <w:rFonts w:ascii="Calibri" w:eastAsia="Times New Roman" w:hAnsi="Calibri" w:cs="Calibri"/>
                <w:color w:val="000000"/>
                <w:lang w:eastAsia="en-GB"/>
              </w:rPr>
              <w:t>GCSE grades</w:t>
            </w:r>
          </w:p>
        </w:tc>
        <w:tc>
          <w:tcPr>
            <w:tcW w:w="960" w:type="dxa"/>
            <w:tcBorders>
              <w:top w:val="nil"/>
              <w:left w:val="nil"/>
              <w:bottom w:val="single" w:sz="4" w:space="0" w:color="auto"/>
              <w:right w:val="nil"/>
            </w:tcBorders>
            <w:shd w:val="clear" w:color="auto" w:fill="auto"/>
            <w:noWrap/>
            <w:vAlign w:val="bottom"/>
            <w:hideMark/>
          </w:tcPr>
          <w:p w14:paraId="639A4409"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w:t>
            </w:r>
          </w:p>
        </w:tc>
        <w:tc>
          <w:tcPr>
            <w:tcW w:w="960" w:type="dxa"/>
            <w:tcBorders>
              <w:top w:val="nil"/>
              <w:left w:val="nil"/>
              <w:bottom w:val="single" w:sz="4" w:space="0" w:color="auto"/>
              <w:right w:val="nil"/>
            </w:tcBorders>
            <w:shd w:val="clear" w:color="auto" w:fill="auto"/>
            <w:noWrap/>
            <w:vAlign w:val="bottom"/>
            <w:hideMark/>
          </w:tcPr>
          <w:p w14:paraId="3030FD97"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w:t>
            </w:r>
          </w:p>
        </w:tc>
        <w:tc>
          <w:tcPr>
            <w:tcW w:w="960" w:type="dxa"/>
            <w:tcBorders>
              <w:top w:val="nil"/>
              <w:left w:val="nil"/>
              <w:bottom w:val="single" w:sz="4" w:space="0" w:color="auto"/>
              <w:right w:val="nil"/>
            </w:tcBorders>
            <w:shd w:val="clear" w:color="auto" w:fill="auto"/>
            <w:noWrap/>
            <w:vAlign w:val="bottom"/>
            <w:hideMark/>
          </w:tcPr>
          <w:p w14:paraId="627D480B"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w:t>
            </w:r>
          </w:p>
        </w:tc>
        <w:tc>
          <w:tcPr>
            <w:tcW w:w="960" w:type="dxa"/>
            <w:tcBorders>
              <w:top w:val="nil"/>
              <w:left w:val="nil"/>
              <w:bottom w:val="single" w:sz="4" w:space="0" w:color="auto"/>
              <w:right w:val="nil"/>
            </w:tcBorders>
            <w:shd w:val="clear" w:color="auto" w:fill="auto"/>
            <w:noWrap/>
            <w:vAlign w:val="bottom"/>
            <w:hideMark/>
          </w:tcPr>
          <w:p w14:paraId="7B41C50E"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w:t>
            </w:r>
          </w:p>
        </w:tc>
        <w:tc>
          <w:tcPr>
            <w:tcW w:w="960" w:type="dxa"/>
            <w:tcBorders>
              <w:top w:val="nil"/>
              <w:left w:val="nil"/>
              <w:bottom w:val="single" w:sz="4" w:space="0" w:color="auto"/>
              <w:right w:val="nil"/>
            </w:tcBorders>
            <w:shd w:val="clear" w:color="auto" w:fill="auto"/>
            <w:noWrap/>
            <w:vAlign w:val="bottom"/>
            <w:hideMark/>
          </w:tcPr>
          <w:p w14:paraId="25319BFB"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w:t>
            </w:r>
          </w:p>
        </w:tc>
        <w:tc>
          <w:tcPr>
            <w:tcW w:w="960" w:type="dxa"/>
            <w:tcBorders>
              <w:top w:val="nil"/>
              <w:left w:val="nil"/>
              <w:bottom w:val="single" w:sz="4" w:space="0" w:color="auto"/>
              <w:right w:val="nil"/>
            </w:tcBorders>
            <w:shd w:val="clear" w:color="auto" w:fill="auto"/>
            <w:noWrap/>
            <w:vAlign w:val="bottom"/>
            <w:hideMark/>
          </w:tcPr>
          <w:p w14:paraId="7B39A341" w14:textId="77777777" w:rsidR="00EE311F" w:rsidRPr="0073679A" w:rsidRDefault="00EE311F" w:rsidP="00515E57">
            <w:pPr>
              <w:spacing w:after="0" w:line="240" w:lineRule="auto"/>
              <w:jc w:val="center"/>
              <w:rPr>
                <w:rFonts w:ascii="Calibri" w:eastAsia="Times New Roman" w:hAnsi="Calibri" w:cs="Calibri"/>
                <w:color w:val="000000"/>
                <w:lang w:eastAsia="en-GB"/>
              </w:rPr>
            </w:pPr>
            <w:r w:rsidRPr="0073679A">
              <w:rPr>
                <w:rFonts w:ascii="Calibri" w:eastAsia="Times New Roman" w:hAnsi="Calibri" w:cs="Calibri"/>
                <w:color w:val="000000"/>
                <w:lang w:eastAsia="en-GB"/>
              </w:rPr>
              <w:t>Y</w:t>
            </w:r>
          </w:p>
        </w:tc>
      </w:tr>
    </w:tbl>
    <w:p w14:paraId="3A3D8878" w14:textId="77777777" w:rsidR="00EE311F" w:rsidRPr="009A4467" w:rsidRDefault="00EE311F" w:rsidP="00095659">
      <w:pPr>
        <w:spacing w:line="240" w:lineRule="auto"/>
        <w:jc w:val="both"/>
        <w:rPr>
          <w:sz w:val="20"/>
          <w:szCs w:val="20"/>
        </w:rPr>
      </w:pPr>
      <w:r w:rsidRPr="009A4467">
        <w:rPr>
          <w:b/>
          <w:bCs/>
          <w:sz w:val="20"/>
          <w:szCs w:val="20"/>
        </w:rPr>
        <w:t>Notes:</w:t>
      </w:r>
      <w:r w:rsidRPr="009A4467">
        <w:rPr>
          <w:sz w:val="20"/>
          <w:szCs w:val="20"/>
        </w:rPr>
        <w:t xml:space="preserve"> Figures refer to odds ratio in comparison to children from disadvantaged socio-economic backgrounds as the reference group. * indicates odds ratio significantly different from one at the 5% level. See Appendix </w:t>
      </w:r>
      <w:r>
        <w:rPr>
          <w:sz w:val="20"/>
          <w:szCs w:val="20"/>
        </w:rPr>
        <w:t>C</w:t>
      </w:r>
      <w:r w:rsidRPr="009A4467">
        <w:rPr>
          <w:sz w:val="20"/>
          <w:szCs w:val="20"/>
        </w:rPr>
        <w:t xml:space="preserve"> for the full set of estimates including standard errors. </w:t>
      </w:r>
    </w:p>
    <w:p w14:paraId="65A92B73" w14:textId="77777777" w:rsidR="00EE311F" w:rsidRPr="00082FCB" w:rsidRDefault="00EE311F" w:rsidP="00095659">
      <w:pPr>
        <w:pStyle w:val="ListParagraph"/>
        <w:numPr>
          <w:ilvl w:val="0"/>
          <w:numId w:val="10"/>
        </w:numPr>
        <w:spacing w:after="0"/>
        <w:jc w:val="center"/>
      </w:pPr>
      <w:r w:rsidRPr="004C6ADE">
        <w:t>Differences between high-achieving disadvantaged children of different genders and ethnicities.</w:t>
      </w:r>
    </w:p>
    <w:tbl>
      <w:tblPr>
        <w:tblW w:w="8040" w:type="dxa"/>
        <w:jc w:val="center"/>
        <w:tblLook w:val="04A0" w:firstRow="1" w:lastRow="0" w:firstColumn="1" w:lastColumn="0" w:noHBand="0" w:noVBand="1"/>
      </w:tblPr>
      <w:tblGrid>
        <w:gridCol w:w="1944"/>
        <w:gridCol w:w="1040"/>
        <w:gridCol w:w="1040"/>
        <w:gridCol w:w="1040"/>
        <w:gridCol w:w="1040"/>
        <w:gridCol w:w="1040"/>
        <w:gridCol w:w="1040"/>
      </w:tblGrid>
      <w:tr w:rsidR="00EE311F" w:rsidRPr="00D2057F" w14:paraId="1ECF9FC2" w14:textId="77777777" w:rsidTr="00515E57">
        <w:trPr>
          <w:trHeight w:val="290"/>
          <w:jc w:val="center"/>
        </w:trPr>
        <w:tc>
          <w:tcPr>
            <w:tcW w:w="1800" w:type="dxa"/>
            <w:tcBorders>
              <w:top w:val="single" w:sz="4" w:space="0" w:color="auto"/>
              <w:left w:val="nil"/>
              <w:bottom w:val="single" w:sz="4" w:space="0" w:color="auto"/>
              <w:right w:val="nil"/>
            </w:tcBorders>
            <w:shd w:val="clear" w:color="000000" w:fill="D9E1F2"/>
            <w:noWrap/>
            <w:vAlign w:val="bottom"/>
            <w:hideMark/>
          </w:tcPr>
          <w:p w14:paraId="25F4BC09" w14:textId="77777777" w:rsidR="00EE311F" w:rsidRPr="00D2057F" w:rsidRDefault="00EE311F" w:rsidP="00095659">
            <w:pPr>
              <w:spacing w:after="0" w:line="240" w:lineRule="auto"/>
              <w:rPr>
                <w:rFonts w:ascii="Calibri" w:eastAsia="Times New Roman" w:hAnsi="Calibri" w:cs="Calibri"/>
                <w:b/>
                <w:bCs/>
                <w:color w:val="000000"/>
                <w:lang w:eastAsia="en-GB"/>
              </w:rPr>
            </w:pPr>
            <w:r w:rsidRPr="00D2057F">
              <w:rPr>
                <w:rFonts w:ascii="Calibri" w:eastAsia="Times New Roman" w:hAnsi="Calibri" w:cs="Calibri"/>
                <w:b/>
                <w:bCs/>
                <w:color w:val="000000"/>
                <w:lang w:eastAsia="en-GB"/>
              </w:rPr>
              <w:t> </w:t>
            </w:r>
          </w:p>
        </w:tc>
        <w:tc>
          <w:tcPr>
            <w:tcW w:w="1040" w:type="dxa"/>
            <w:tcBorders>
              <w:top w:val="single" w:sz="4" w:space="0" w:color="auto"/>
              <w:left w:val="nil"/>
              <w:bottom w:val="single" w:sz="4" w:space="0" w:color="auto"/>
              <w:right w:val="nil"/>
            </w:tcBorders>
            <w:shd w:val="clear" w:color="000000" w:fill="D9E1F2"/>
            <w:noWrap/>
            <w:vAlign w:val="bottom"/>
            <w:hideMark/>
          </w:tcPr>
          <w:p w14:paraId="38DE7645" w14:textId="77777777" w:rsidR="00EE311F" w:rsidRPr="00D2057F" w:rsidRDefault="00EE311F" w:rsidP="00095659">
            <w:pPr>
              <w:spacing w:after="0" w:line="240" w:lineRule="auto"/>
              <w:jc w:val="center"/>
              <w:rPr>
                <w:rFonts w:ascii="Calibri" w:eastAsia="Times New Roman" w:hAnsi="Calibri" w:cs="Calibri"/>
                <w:b/>
                <w:bCs/>
                <w:color w:val="000000"/>
                <w:lang w:eastAsia="en-GB"/>
              </w:rPr>
            </w:pPr>
            <w:r w:rsidRPr="00D2057F">
              <w:rPr>
                <w:rFonts w:ascii="Calibri" w:eastAsia="Times New Roman" w:hAnsi="Calibri" w:cs="Calibri"/>
                <w:b/>
                <w:bCs/>
                <w:color w:val="000000"/>
                <w:lang w:eastAsia="en-GB"/>
              </w:rPr>
              <w:t>M0</w:t>
            </w:r>
          </w:p>
        </w:tc>
        <w:tc>
          <w:tcPr>
            <w:tcW w:w="1040" w:type="dxa"/>
            <w:tcBorders>
              <w:top w:val="single" w:sz="4" w:space="0" w:color="auto"/>
              <w:left w:val="nil"/>
              <w:bottom w:val="single" w:sz="4" w:space="0" w:color="auto"/>
              <w:right w:val="nil"/>
            </w:tcBorders>
            <w:shd w:val="clear" w:color="000000" w:fill="D9E1F2"/>
            <w:noWrap/>
            <w:vAlign w:val="bottom"/>
            <w:hideMark/>
          </w:tcPr>
          <w:p w14:paraId="496BF61B" w14:textId="77777777" w:rsidR="00EE311F" w:rsidRPr="00D2057F" w:rsidRDefault="00EE311F" w:rsidP="00095659">
            <w:pPr>
              <w:spacing w:after="0" w:line="240" w:lineRule="auto"/>
              <w:jc w:val="center"/>
              <w:rPr>
                <w:rFonts w:ascii="Calibri" w:eastAsia="Times New Roman" w:hAnsi="Calibri" w:cs="Calibri"/>
                <w:b/>
                <w:bCs/>
                <w:color w:val="000000"/>
                <w:lang w:eastAsia="en-GB"/>
              </w:rPr>
            </w:pPr>
            <w:r w:rsidRPr="00D2057F">
              <w:rPr>
                <w:rFonts w:ascii="Calibri" w:eastAsia="Times New Roman" w:hAnsi="Calibri" w:cs="Calibri"/>
                <w:b/>
                <w:bCs/>
                <w:color w:val="000000"/>
                <w:lang w:eastAsia="en-GB"/>
              </w:rPr>
              <w:t>M1</w:t>
            </w:r>
          </w:p>
        </w:tc>
        <w:tc>
          <w:tcPr>
            <w:tcW w:w="1040" w:type="dxa"/>
            <w:tcBorders>
              <w:top w:val="single" w:sz="4" w:space="0" w:color="auto"/>
              <w:left w:val="nil"/>
              <w:bottom w:val="single" w:sz="4" w:space="0" w:color="auto"/>
              <w:right w:val="nil"/>
            </w:tcBorders>
            <w:shd w:val="clear" w:color="000000" w:fill="D9E1F2"/>
            <w:noWrap/>
            <w:vAlign w:val="bottom"/>
            <w:hideMark/>
          </w:tcPr>
          <w:p w14:paraId="4DCD36C2" w14:textId="77777777" w:rsidR="00EE311F" w:rsidRPr="00D2057F" w:rsidRDefault="00EE311F" w:rsidP="00095659">
            <w:pPr>
              <w:spacing w:after="0" w:line="240" w:lineRule="auto"/>
              <w:jc w:val="center"/>
              <w:rPr>
                <w:rFonts w:ascii="Calibri" w:eastAsia="Times New Roman" w:hAnsi="Calibri" w:cs="Calibri"/>
                <w:b/>
                <w:bCs/>
                <w:color w:val="000000"/>
                <w:lang w:eastAsia="en-GB"/>
              </w:rPr>
            </w:pPr>
            <w:r w:rsidRPr="00D2057F">
              <w:rPr>
                <w:rFonts w:ascii="Calibri" w:eastAsia="Times New Roman" w:hAnsi="Calibri" w:cs="Calibri"/>
                <w:b/>
                <w:bCs/>
                <w:color w:val="000000"/>
                <w:lang w:eastAsia="en-GB"/>
              </w:rPr>
              <w:t>M2</w:t>
            </w:r>
          </w:p>
        </w:tc>
        <w:tc>
          <w:tcPr>
            <w:tcW w:w="1040" w:type="dxa"/>
            <w:tcBorders>
              <w:top w:val="single" w:sz="4" w:space="0" w:color="auto"/>
              <w:left w:val="nil"/>
              <w:bottom w:val="single" w:sz="4" w:space="0" w:color="auto"/>
              <w:right w:val="nil"/>
            </w:tcBorders>
            <w:shd w:val="clear" w:color="000000" w:fill="D9E1F2"/>
            <w:noWrap/>
            <w:vAlign w:val="bottom"/>
            <w:hideMark/>
          </w:tcPr>
          <w:p w14:paraId="54BA9F38" w14:textId="77777777" w:rsidR="00EE311F" w:rsidRPr="00D2057F" w:rsidRDefault="00EE311F" w:rsidP="00095659">
            <w:pPr>
              <w:spacing w:after="0" w:line="240" w:lineRule="auto"/>
              <w:jc w:val="center"/>
              <w:rPr>
                <w:rFonts w:ascii="Calibri" w:eastAsia="Times New Roman" w:hAnsi="Calibri" w:cs="Calibri"/>
                <w:b/>
                <w:bCs/>
                <w:color w:val="000000"/>
                <w:lang w:eastAsia="en-GB"/>
              </w:rPr>
            </w:pPr>
            <w:r w:rsidRPr="00D2057F">
              <w:rPr>
                <w:rFonts w:ascii="Calibri" w:eastAsia="Times New Roman" w:hAnsi="Calibri" w:cs="Calibri"/>
                <w:b/>
                <w:bCs/>
                <w:color w:val="000000"/>
                <w:lang w:eastAsia="en-GB"/>
              </w:rPr>
              <w:t>M3</w:t>
            </w:r>
          </w:p>
        </w:tc>
        <w:tc>
          <w:tcPr>
            <w:tcW w:w="1040" w:type="dxa"/>
            <w:tcBorders>
              <w:top w:val="single" w:sz="4" w:space="0" w:color="auto"/>
              <w:left w:val="nil"/>
              <w:bottom w:val="single" w:sz="4" w:space="0" w:color="auto"/>
              <w:right w:val="nil"/>
            </w:tcBorders>
            <w:shd w:val="clear" w:color="000000" w:fill="D9E1F2"/>
            <w:noWrap/>
            <w:vAlign w:val="bottom"/>
            <w:hideMark/>
          </w:tcPr>
          <w:p w14:paraId="167B1305" w14:textId="77777777" w:rsidR="00EE311F" w:rsidRPr="00D2057F" w:rsidRDefault="00EE311F" w:rsidP="00095659">
            <w:pPr>
              <w:spacing w:after="0" w:line="240" w:lineRule="auto"/>
              <w:jc w:val="center"/>
              <w:rPr>
                <w:rFonts w:ascii="Calibri" w:eastAsia="Times New Roman" w:hAnsi="Calibri" w:cs="Calibri"/>
                <w:b/>
                <w:bCs/>
                <w:color w:val="000000"/>
                <w:lang w:eastAsia="en-GB"/>
              </w:rPr>
            </w:pPr>
            <w:r w:rsidRPr="00D2057F">
              <w:rPr>
                <w:rFonts w:ascii="Calibri" w:eastAsia="Times New Roman" w:hAnsi="Calibri" w:cs="Calibri"/>
                <w:b/>
                <w:bCs/>
                <w:color w:val="000000"/>
                <w:lang w:eastAsia="en-GB"/>
              </w:rPr>
              <w:t>M4</w:t>
            </w:r>
          </w:p>
        </w:tc>
        <w:tc>
          <w:tcPr>
            <w:tcW w:w="1040" w:type="dxa"/>
            <w:tcBorders>
              <w:top w:val="single" w:sz="4" w:space="0" w:color="auto"/>
              <w:left w:val="nil"/>
              <w:bottom w:val="single" w:sz="4" w:space="0" w:color="auto"/>
              <w:right w:val="nil"/>
            </w:tcBorders>
            <w:shd w:val="clear" w:color="000000" w:fill="D9E1F2"/>
            <w:noWrap/>
            <w:vAlign w:val="bottom"/>
            <w:hideMark/>
          </w:tcPr>
          <w:p w14:paraId="0A955AF8" w14:textId="77777777" w:rsidR="00EE311F" w:rsidRPr="00D2057F" w:rsidRDefault="00EE311F" w:rsidP="00095659">
            <w:pPr>
              <w:spacing w:after="0" w:line="240" w:lineRule="auto"/>
              <w:jc w:val="center"/>
              <w:rPr>
                <w:rFonts w:ascii="Calibri" w:eastAsia="Times New Roman" w:hAnsi="Calibri" w:cs="Calibri"/>
                <w:b/>
                <w:bCs/>
                <w:color w:val="000000"/>
                <w:lang w:eastAsia="en-GB"/>
              </w:rPr>
            </w:pPr>
            <w:r w:rsidRPr="00D2057F">
              <w:rPr>
                <w:rFonts w:ascii="Calibri" w:eastAsia="Times New Roman" w:hAnsi="Calibri" w:cs="Calibri"/>
                <w:b/>
                <w:bCs/>
                <w:color w:val="000000"/>
                <w:lang w:eastAsia="en-GB"/>
              </w:rPr>
              <w:t>M5</w:t>
            </w:r>
          </w:p>
        </w:tc>
      </w:tr>
      <w:tr w:rsidR="00EE311F" w:rsidRPr="00D2057F" w14:paraId="15DB2394" w14:textId="77777777" w:rsidTr="00515E57">
        <w:trPr>
          <w:trHeight w:val="290"/>
          <w:jc w:val="center"/>
        </w:trPr>
        <w:tc>
          <w:tcPr>
            <w:tcW w:w="1800" w:type="dxa"/>
            <w:tcBorders>
              <w:top w:val="nil"/>
              <w:left w:val="nil"/>
              <w:bottom w:val="nil"/>
              <w:right w:val="nil"/>
            </w:tcBorders>
            <w:shd w:val="clear" w:color="auto" w:fill="auto"/>
            <w:noWrap/>
            <w:vAlign w:val="bottom"/>
            <w:hideMark/>
          </w:tcPr>
          <w:p w14:paraId="1E3089C7" w14:textId="77777777" w:rsidR="00EE311F" w:rsidRPr="00D2057F" w:rsidRDefault="00EE311F" w:rsidP="00095659">
            <w:pPr>
              <w:spacing w:after="0" w:line="240" w:lineRule="auto"/>
              <w:rPr>
                <w:rFonts w:ascii="Calibri" w:eastAsia="Times New Roman" w:hAnsi="Calibri" w:cs="Calibri"/>
                <w:color w:val="000000"/>
                <w:lang w:eastAsia="en-GB"/>
              </w:rPr>
            </w:pPr>
            <w:r w:rsidRPr="00D2057F">
              <w:rPr>
                <w:rFonts w:ascii="Calibri" w:eastAsia="Times New Roman" w:hAnsi="Calibri" w:cs="Calibri"/>
                <w:color w:val="000000"/>
                <w:lang w:eastAsia="en-GB"/>
              </w:rPr>
              <w:t>White girl</w:t>
            </w:r>
          </w:p>
        </w:tc>
        <w:tc>
          <w:tcPr>
            <w:tcW w:w="1040" w:type="dxa"/>
            <w:tcBorders>
              <w:top w:val="nil"/>
              <w:left w:val="nil"/>
              <w:bottom w:val="nil"/>
              <w:right w:val="nil"/>
            </w:tcBorders>
            <w:shd w:val="clear" w:color="auto" w:fill="auto"/>
            <w:noWrap/>
            <w:vAlign w:val="bottom"/>
            <w:hideMark/>
          </w:tcPr>
          <w:p w14:paraId="472268E4" w14:textId="77777777" w:rsidR="00EE311F" w:rsidRPr="00D2057F" w:rsidRDefault="00EE311F" w:rsidP="00095659">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0.25</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0E1EC541" w14:textId="77777777" w:rsidR="00EE311F" w:rsidRPr="00D2057F" w:rsidRDefault="00EE311F" w:rsidP="00095659">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0.27</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4D81FA98" w14:textId="77777777" w:rsidR="00EE311F" w:rsidRPr="00D2057F" w:rsidRDefault="00EE311F" w:rsidP="00095659">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0.24</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0E778AF7" w14:textId="77777777" w:rsidR="00EE311F" w:rsidRPr="00D2057F" w:rsidRDefault="00EE311F" w:rsidP="00095659">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0.25</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1B1ACEDE" w14:textId="77777777" w:rsidR="00EE311F" w:rsidRPr="00D2057F" w:rsidRDefault="00EE311F" w:rsidP="00095659">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0.27</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6E7EE9C5" w14:textId="77777777" w:rsidR="00EE311F" w:rsidRPr="00D2057F" w:rsidRDefault="00EE311F" w:rsidP="00095659">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0.29</w:t>
            </w:r>
            <w:r>
              <w:rPr>
                <w:rFonts w:ascii="Calibri" w:eastAsia="Times New Roman" w:hAnsi="Calibri" w:cs="Calibri"/>
                <w:color w:val="000000"/>
                <w:lang w:eastAsia="en-GB"/>
              </w:rPr>
              <w:t>*</w:t>
            </w:r>
          </w:p>
        </w:tc>
      </w:tr>
      <w:tr w:rsidR="00EE311F" w:rsidRPr="00D2057F" w14:paraId="7AAD62A6" w14:textId="77777777" w:rsidTr="00515E57">
        <w:trPr>
          <w:trHeight w:val="290"/>
          <w:jc w:val="center"/>
        </w:trPr>
        <w:tc>
          <w:tcPr>
            <w:tcW w:w="1800" w:type="dxa"/>
            <w:tcBorders>
              <w:top w:val="nil"/>
              <w:left w:val="nil"/>
              <w:bottom w:val="nil"/>
              <w:right w:val="nil"/>
            </w:tcBorders>
            <w:shd w:val="clear" w:color="auto" w:fill="auto"/>
            <w:noWrap/>
            <w:vAlign w:val="bottom"/>
            <w:hideMark/>
          </w:tcPr>
          <w:p w14:paraId="12F0A5BB" w14:textId="77777777" w:rsidR="00EE311F" w:rsidRPr="00D2057F" w:rsidRDefault="00EE311F" w:rsidP="00515E57">
            <w:pPr>
              <w:spacing w:after="0" w:line="240" w:lineRule="auto"/>
              <w:rPr>
                <w:rFonts w:ascii="Calibri" w:eastAsia="Times New Roman" w:hAnsi="Calibri" w:cs="Calibri"/>
                <w:color w:val="000000"/>
                <w:lang w:eastAsia="en-GB"/>
              </w:rPr>
            </w:pPr>
            <w:r w:rsidRPr="00D2057F">
              <w:rPr>
                <w:rFonts w:ascii="Calibri" w:eastAsia="Times New Roman" w:hAnsi="Calibri" w:cs="Calibri"/>
                <w:color w:val="000000"/>
                <w:lang w:eastAsia="en-GB"/>
              </w:rPr>
              <w:t>Asian boy</w:t>
            </w:r>
          </w:p>
        </w:tc>
        <w:tc>
          <w:tcPr>
            <w:tcW w:w="1040" w:type="dxa"/>
            <w:tcBorders>
              <w:top w:val="nil"/>
              <w:left w:val="nil"/>
              <w:bottom w:val="nil"/>
              <w:right w:val="nil"/>
            </w:tcBorders>
            <w:shd w:val="clear" w:color="auto" w:fill="auto"/>
            <w:noWrap/>
            <w:vAlign w:val="bottom"/>
            <w:hideMark/>
          </w:tcPr>
          <w:p w14:paraId="3512BCEB"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0.81</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2AE64FE0"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0.88</w:t>
            </w:r>
          </w:p>
        </w:tc>
        <w:tc>
          <w:tcPr>
            <w:tcW w:w="1040" w:type="dxa"/>
            <w:tcBorders>
              <w:top w:val="nil"/>
              <w:left w:val="nil"/>
              <w:bottom w:val="nil"/>
              <w:right w:val="nil"/>
            </w:tcBorders>
            <w:shd w:val="clear" w:color="auto" w:fill="auto"/>
            <w:noWrap/>
            <w:vAlign w:val="bottom"/>
            <w:hideMark/>
          </w:tcPr>
          <w:p w14:paraId="6093094F"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0.99</w:t>
            </w:r>
          </w:p>
        </w:tc>
        <w:tc>
          <w:tcPr>
            <w:tcW w:w="1040" w:type="dxa"/>
            <w:tcBorders>
              <w:top w:val="nil"/>
              <w:left w:val="nil"/>
              <w:bottom w:val="nil"/>
              <w:right w:val="nil"/>
            </w:tcBorders>
            <w:shd w:val="clear" w:color="auto" w:fill="auto"/>
            <w:noWrap/>
            <w:vAlign w:val="bottom"/>
            <w:hideMark/>
          </w:tcPr>
          <w:p w14:paraId="03D8F9BD"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1.00</w:t>
            </w:r>
          </w:p>
        </w:tc>
        <w:tc>
          <w:tcPr>
            <w:tcW w:w="1040" w:type="dxa"/>
            <w:tcBorders>
              <w:top w:val="nil"/>
              <w:left w:val="nil"/>
              <w:bottom w:val="nil"/>
              <w:right w:val="nil"/>
            </w:tcBorders>
            <w:shd w:val="clear" w:color="auto" w:fill="auto"/>
            <w:noWrap/>
            <w:vAlign w:val="bottom"/>
            <w:hideMark/>
          </w:tcPr>
          <w:p w14:paraId="35F17990"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1.13</w:t>
            </w:r>
          </w:p>
        </w:tc>
        <w:tc>
          <w:tcPr>
            <w:tcW w:w="1040" w:type="dxa"/>
            <w:tcBorders>
              <w:top w:val="nil"/>
              <w:left w:val="nil"/>
              <w:bottom w:val="nil"/>
              <w:right w:val="nil"/>
            </w:tcBorders>
            <w:shd w:val="clear" w:color="auto" w:fill="auto"/>
            <w:noWrap/>
            <w:vAlign w:val="bottom"/>
            <w:hideMark/>
          </w:tcPr>
          <w:p w14:paraId="0BD1621B"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1.27</w:t>
            </w:r>
            <w:r>
              <w:rPr>
                <w:rFonts w:ascii="Calibri" w:eastAsia="Times New Roman" w:hAnsi="Calibri" w:cs="Calibri"/>
                <w:color w:val="000000"/>
                <w:lang w:eastAsia="en-GB"/>
              </w:rPr>
              <w:t>*</w:t>
            </w:r>
          </w:p>
        </w:tc>
      </w:tr>
      <w:tr w:rsidR="00EE311F" w:rsidRPr="00D2057F" w14:paraId="1A377838" w14:textId="77777777" w:rsidTr="00515E57">
        <w:trPr>
          <w:trHeight w:val="290"/>
          <w:jc w:val="center"/>
        </w:trPr>
        <w:tc>
          <w:tcPr>
            <w:tcW w:w="1800" w:type="dxa"/>
            <w:tcBorders>
              <w:top w:val="nil"/>
              <w:left w:val="nil"/>
              <w:bottom w:val="nil"/>
              <w:right w:val="nil"/>
            </w:tcBorders>
            <w:shd w:val="clear" w:color="auto" w:fill="auto"/>
            <w:noWrap/>
            <w:vAlign w:val="bottom"/>
            <w:hideMark/>
          </w:tcPr>
          <w:p w14:paraId="68AE6706" w14:textId="77777777" w:rsidR="00EE311F" w:rsidRPr="00D2057F" w:rsidRDefault="00EE311F" w:rsidP="00515E57">
            <w:pPr>
              <w:spacing w:after="0" w:line="240" w:lineRule="auto"/>
              <w:rPr>
                <w:rFonts w:ascii="Calibri" w:eastAsia="Times New Roman" w:hAnsi="Calibri" w:cs="Calibri"/>
                <w:color w:val="000000"/>
                <w:lang w:eastAsia="en-GB"/>
              </w:rPr>
            </w:pPr>
            <w:r w:rsidRPr="00D2057F">
              <w:rPr>
                <w:rFonts w:ascii="Calibri" w:eastAsia="Times New Roman" w:hAnsi="Calibri" w:cs="Calibri"/>
                <w:color w:val="000000"/>
                <w:lang w:eastAsia="en-GB"/>
              </w:rPr>
              <w:t>Asian girl</w:t>
            </w:r>
          </w:p>
        </w:tc>
        <w:tc>
          <w:tcPr>
            <w:tcW w:w="1040" w:type="dxa"/>
            <w:tcBorders>
              <w:top w:val="nil"/>
              <w:left w:val="nil"/>
              <w:bottom w:val="nil"/>
              <w:right w:val="nil"/>
            </w:tcBorders>
            <w:shd w:val="clear" w:color="auto" w:fill="auto"/>
            <w:noWrap/>
            <w:vAlign w:val="bottom"/>
            <w:hideMark/>
          </w:tcPr>
          <w:p w14:paraId="05B3409A"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0.08</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48C20B3E"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0.09</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5736254F"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0.10</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53423518"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0.12</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2DFBBB0D"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0.15</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2D43B9B1"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0.19</w:t>
            </w:r>
            <w:r>
              <w:rPr>
                <w:rFonts w:ascii="Calibri" w:eastAsia="Times New Roman" w:hAnsi="Calibri" w:cs="Calibri"/>
                <w:color w:val="000000"/>
                <w:lang w:eastAsia="en-GB"/>
              </w:rPr>
              <w:t>*</w:t>
            </w:r>
          </w:p>
        </w:tc>
      </w:tr>
      <w:tr w:rsidR="00EE311F" w:rsidRPr="00D2057F" w14:paraId="4A477241" w14:textId="77777777" w:rsidTr="00515E57">
        <w:trPr>
          <w:trHeight w:val="290"/>
          <w:jc w:val="center"/>
        </w:trPr>
        <w:tc>
          <w:tcPr>
            <w:tcW w:w="1800" w:type="dxa"/>
            <w:tcBorders>
              <w:top w:val="nil"/>
              <w:left w:val="nil"/>
              <w:bottom w:val="nil"/>
              <w:right w:val="nil"/>
            </w:tcBorders>
            <w:shd w:val="clear" w:color="auto" w:fill="auto"/>
            <w:noWrap/>
            <w:vAlign w:val="bottom"/>
            <w:hideMark/>
          </w:tcPr>
          <w:p w14:paraId="5D0BC9AB" w14:textId="77777777" w:rsidR="00EE311F" w:rsidRPr="00D2057F" w:rsidRDefault="00EE311F" w:rsidP="00515E57">
            <w:pPr>
              <w:spacing w:after="0" w:line="240" w:lineRule="auto"/>
              <w:rPr>
                <w:rFonts w:ascii="Calibri" w:eastAsia="Times New Roman" w:hAnsi="Calibri" w:cs="Calibri"/>
                <w:color w:val="000000"/>
                <w:lang w:eastAsia="en-GB"/>
              </w:rPr>
            </w:pPr>
            <w:r w:rsidRPr="00D2057F">
              <w:rPr>
                <w:rFonts w:ascii="Calibri" w:eastAsia="Times New Roman" w:hAnsi="Calibri" w:cs="Calibri"/>
                <w:color w:val="000000"/>
                <w:lang w:eastAsia="en-GB"/>
              </w:rPr>
              <w:t>Black boy</w:t>
            </w:r>
          </w:p>
        </w:tc>
        <w:tc>
          <w:tcPr>
            <w:tcW w:w="1040" w:type="dxa"/>
            <w:tcBorders>
              <w:top w:val="nil"/>
              <w:left w:val="nil"/>
              <w:bottom w:val="nil"/>
              <w:right w:val="nil"/>
            </w:tcBorders>
            <w:shd w:val="clear" w:color="auto" w:fill="auto"/>
            <w:noWrap/>
            <w:vAlign w:val="bottom"/>
            <w:hideMark/>
          </w:tcPr>
          <w:p w14:paraId="28449058"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1.33</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69625709"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1.50</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7CB1D0A7"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1.73</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4C9E9572"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1.56</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7AD81D23"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1.67</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4FE2C90A"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1.70</w:t>
            </w:r>
            <w:r>
              <w:rPr>
                <w:rFonts w:ascii="Calibri" w:eastAsia="Times New Roman" w:hAnsi="Calibri" w:cs="Calibri"/>
                <w:color w:val="000000"/>
                <w:lang w:eastAsia="en-GB"/>
              </w:rPr>
              <w:t>*</w:t>
            </w:r>
          </w:p>
        </w:tc>
      </w:tr>
      <w:tr w:rsidR="00EE311F" w:rsidRPr="00D2057F" w14:paraId="7ECD9159" w14:textId="77777777" w:rsidTr="00515E57">
        <w:trPr>
          <w:trHeight w:val="290"/>
          <w:jc w:val="center"/>
        </w:trPr>
        <w:tc>
          <w:tcPr>
            <w:tcW w:w="1800" w:type="dxa"/>
            <w:tcBorders>
              <w:top w:val="nil"/>
              <w:left w:val="nil"/>
              <w:bottom w:val="nil"/>
              <w:right w:val="nil"/>
            </w:tcBorders>
            <w:shd w:val="clear" w:color="auto" w:fill="auto"/>
            <w:noWrap/>
            <w:vAlign w:val="bottom"/>
            <w:hideMark/>
          </w:tcPr>
          <w:p w14:paraId="31F6F77D" w14:textId="77777777" w:rsidR="00EE311F" w:rsidRPr="00D2057F" w:rsidRDefault="00EE311F" w:rsidP="00515E57">
            <w:pPr>
              <w:spacing w:after="0" w:line="240" w:lineRule="auto"/>
              <w:rPr>
                <w:rFonts w:ascii="Calibri" w:eastAsia="Times New Roman" w:hAnsi="Calibri" w:cs="Calibri"/>
                <w:color w:val="000000"/>
                <w:lang w:eastAsia="en-GB"/>
              </w:rPr>
            </w:pPr>
            <w:r w:rsidRPr="00D2057F">
              <w:rPr>
                <w:rFonts w:ascii="Calibri" w:eastAsia="Times New Roman" w:hAnsi="Calibri" w:cs="Calibri"/>
                <w:color w:val="000000"/>
                <w:lang w:eastAsia="en-GB"/>
              </w:rPr>
              <w:t>Black girl</w:t>
            </w:r>
          </w:p>
        </w:tc>
        <w:tc>
          <w:tcPr>
            <w:tcW w:w="1040" w:type="dxa"/>
            <w:tcBorders>
              <w:top w:val="nil"/>
              <w:left w:val="nil"/>
              <w:bottom w:val="nil"/>
              <w:right w:val="nil"/>
            </w:tcBorders>
            <w:shd w:val="clear" w:color="auto" w:fill="auto"/>
            <w:noWrap/>
            <w:vAlign w:val="bottom"/>
            <w:hideMark/>
          </w:tcPr>
          <w:p w14:paraId="6A814203"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0.35</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7BCE517E"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0.42</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351937E6"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0.47</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23824667"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0.46</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57D39AB5"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0.54</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6BE301EB"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0.59</w:t>
            </w:r>
            <w:r>
              <w:rPr>
                <w:rFonts w:ascii="Calibri" w:eastAsia="Times New Roman" w:hAnsi="Calibri" w:cs="Calibri"/>
                <w:color w:val="000000"/>
                <w:lang w:eastAsia="en-GB"/>
              </w:rPr>
              <w:t>*</w:t>
            </w:r>
          </w:p>
        </w:tc>
      </w:tr>
      <w:tr w:rsidR="00EE311F" w:rsidRPr="00D2057F" w14:paraId="7A4663B8" w14:textId="77777777" w:rsidTr="00515E57">
        <w:trPr>
          <w:trHeight w:val="290"/>
          <w:jc w:val="center"/>
        </w:trPr>
        <w:tc>
          <w:tcPr>
            <w:tcW w:w="1800" w:type="dxa"/>
            <w:tcBorders>
              <w:top w:val="nil"/>
              <w:left w:val="nil"/>
              <w:bottom w:val="nil"/>
              <w:right w:val="nil"/>
            </w:tcBorders>
            <w:shd w:val="clear" w:color="auto" w:fill="auto"/>
            <w:noWrap/>
            <w:vAlign w:val="bottom"/>
            <w:hideMark/>
          </w:tcPr>
          <w:p w14:paraId="2F4E02A3" w14:textId="77777777" w:rsidR="00EE311F" w:rsidRPr="00D2057F" w:rsidRDefault="00EE311F" w:rsidP="00515E57">
            <w:pPr>
              <w:spacing w:after="0" w:line="240" w:lineRule="auto"/>
              <w:rPr>
                <w:rFonts w:ascii="Calibri" w:eastAsia="Times New Roman" w:hAnsi="Calibri" w:cs="Calibri"/>
                <w:color w:val="000000"/>
                <w:lang w:eastAsia="en-GB"/>
              </w:rPr>
            </w:pPr>
            <w:r w:rsidRPr="00D2057F">
              <w:rPr>
                <w:rFonts w:ascii="Calibri" w:eastAsia="Times New Roman" w:hAnsi="Calibri" w:cs="Calibri"/>
                <w:color w:val="000000"/>
                <w:lang w:eastAsia="en-GB"/>
              </w:rPr>
              <w:t>Mixed race boy</w:t>
            </w:r>
          </w:p>
        </w:tc>
        <w:tc>
          <w:tcPr>
            <w:tcW w:w="1040" w:type="dxa"/>
            <w:tcBorders>
              <w:top w:val="nil"/>
              <w:left w:val="nil"/>
              <w:bottom w:val="nil"/>
              <w:right w:val="nil"/>
            </w:tcBorders>
            <w:shd w:val="clear" w:color="auto" w:fill="auto"/>
            <w:noWrap/>
            <w:vAlign w:val="bottom"/>
            <w:hideMark/>
          </w:tcPr>
          <w:p w14:paraId="5EC7F211"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1.13</w:t>
            </w:r>
          </w:p>
        </w:tc>
        <w:tc>
          <w:tcPr>
            <w:tcW w:w="1040" w:type="dxa"/>
            <w:tcBorders>
              <w:top w:val="nil"/>
              <w:left w:val="nil"/>
              <w:bottom w:val="nil"/>
              <w:right w:val="nil"/>
            </w:tcBorders>
            <w:shd w:val="clear" w:color="auto" w:fill="auto"/>
            <w:noWrap/>
            <w:vAlign w:val="bottom"/>
            <w:hideMark/>
          </w:tcPr>
          <w:p w14:paraId="379E61A0"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1.26</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5213FCBC"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1.26</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63D38852"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1.17</w:t>
            </w:r>
          </w:p>
        </w:tc>
        <w:tc>
          <w:tcPr>
            <w:tcW w:w="1040" w:type="dxa"/>
            <w:tcBorders>
              <w:top w:val="nil"/>
              <w:left w:val="nil"/>
              <w:bottom w:val="nil"/>
              <w:right w:val="nil"/>
            </w:tcBorders>
            <w:shd w:val="clear" w:color="auto" w:fill="auto"/>
            <w:noWrap/>
            <w:vAlign w:val="bottom"/>
            <w:hideMark/>
          </w:tcPr>
          <w:p w14:paraId="45218B54"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1.18</w:t>
            </w:r>
          </w:p>
        </w:tc>
        <w:tc>
          <w:tcPr>
            <w:tcW w:w="1040" w:type="dxa"/>
            <w:tcBorders>
              <w:top w:val="nil"/>
              <w:left w:val="nil"/>
              <w:bottom w:val="nil"/>
              <w:right w:val="nil"/>
            </w:tcBorders>
            <w:shd w:val="clear" w:color="auto" w:fill="auto"/>
            <w:noWrap/>
            <w:vAlign w:val="bottom"/>
            <w:hideMark/>
          </w:tcPr>
          <w:p w14:paraId="32EAF1AE"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1.16</w:t>
            </w:r>
          </w:p>
        </w:tc>
      </w:tr>
      <w:tr w:rsidR="00EE311F" w:rsidRPr="00D2057F" w14:paraId="392041C1" w14:textId="77777777" w:rsidTr="00515E57">
        <w:trPr>
          <w:trHeight w:val="290"/>
          <w:jc w:val="center"/>
        </w:trPr>
        <w:tc>
          <w:tcPr>
            <w:tcW w:w="1800" w:type="dxa"/>
            <w:tcBorders>
              <w:top w:val="nil"/>
              <w:left w:val="nil"/>
              <w:bottom w:val="nil"/>
              <w:right w:val="nil"/>
            </w:tcBorders>
            <w:shd w:val="clear" w:color="auto" w:fill="auto"/>
            <w:noWrap/>
            <w:vAlign w:val="bottom"/>
            <w:hideMark/>
          </w:tcPr>
          <w:p w14:paraId="796C7CEE" w14:textId="77777777" w:rsidR="00EE311F" w:rsidRPr="00D2057F" w:rsidRDefault="00EE311F" w:rsidP="00515E57">
            <w:pPr>
              <w:spacing w:after="0" w:line="240" w:lineRule="auto"/>
              <w:rPr>
                <w:rFonts w:ascii="Calibri" w:eastAsia="Times New Roman" w:hAnsi="Calibri" w:cs="Calibri"/>
                <w:color w:val="000000"/>
                <w:lang w:eastAsia="en-GB"/>
              </w:rPr>
            </w:pPr>
            <w:r w:rsidRPr="00D2057F">
              <w:rPr>
                <w:rFonts w:ascii="Calibri" w:eastAsia="Times New Roman" w:hAnsi="Calibri" w:cs="Calibri"/>
                <w:color w:val="000000"/>
                <w:lang w:eastAsia="en-GB"/>
              </w:rPr>
              <w:t>Mixed race girl</w:t>
            </w:r>
          </w:p>
        </w:tc>
        <w:tc>
          <w:tcPr>
            <w:tcW w:w="1040" w:type="dxa"/>
            <w:tcBorders>
              <w:top w:val="nil"/>
              <w:left w:val="nil"/>
              <w:bottom w:val="nil"/>
              <w:right w:val="nil"/>
            </w:tcBorders>
            <w:shd w:val="clear" w:color="auto" w:fill="auto"/>
            <w:noWrap/>
            <w:vAlign w:val="bottom"/>
            <w:hideMark/>
          </w:tcPr>
          <w:p w14:paraId="5201B6AA"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0.32</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26C96982"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0.37</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17E15A39"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0.33</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3B4F06D0"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0.32</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61C525B0"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0.33</w:t>
            </w:r>
            <w:r>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6343BFC1"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0.36</w:t>
            </w:r>
            <w:r>
              <w:rPr>
                <w:rFonts w:ascii="Calibri" w:eastAsia="Times New Roman" w:hAnsi="Calibri" w:cs="Calibri"/>
                <w:color w:val="000000"/>
                <w:lang w:eastAsia="en-GB"/>
              </w:rPr>
              <w:t>*</w:t>
            </w:r>
          </w:p>
        </w:tc>
      </w:tr>
      <w:tr w:rsidR="00EE311F" w:rsidRPr="00D2057F" w14:paraId="46C384F5" w14:textId="77777777" w:rsidTr="00515E57">
        <w:trPr>
          <w:trHeight w:val="290"/>
          <w:jc w:val="center"/>
        </w:trPr>
        <w:tc>
          <w:tcPr>
            <w:tcW w:w="1800" w:type="dxa"/>
            <w:tcBorders>
              <w:top w:val="single" w:sz="4" w:space="0" w:color="auto"/>
              <w:left w:val="nil"/>
              <w:bottom w:val="single" w:sz="4" w:space="0" w:color="auto"/>
              <w:right w:val="nil"/>
            </w:tcBorders>
            <w:shd w:val="clear" w:color="auto" w:fill="auto"/>
            <w:noWrap/>
            <w:vAlign w:val="bottom"/>
            <w:hideMark/>
          </w:tcPr>
          <w:p w14:paraId="25875F82" w14:textId="77777777" w:rsidR="00EE311F" w:rsidRPr="00D2057F" w:rsidRDefault="00EE311F" w:rsidP="00515E57">
            <w:pPr>
              <w:spacing w:after="0" w:line="240" w:lineRule="auto"/>
              <w:rPr>
                <w:rFonts w:ascii="Calibri" w:eastAsia="Times New Roman" w:hAnsi="Calibri" w:cs="Calibri"/>
                <w:b/>
                <w:bCs/>
                <w:color w:val="000000"/>
                <w:lang w:eastAsia="en-GB"/>
              </w:rPr>
            </w:pPr>
            <w:r w:rsidRPr="00D2057F">
              <w:rPr>
                <w:rFonts w:ascii="Calibri" w:eastAsia="Times New Roman" w:hAnsi="Calibri" w:cs="Calibri"/>
                <w:b/>
                <w:bCs/>
                <w:color w:val="000000"/>
                <w:lang w:eastAsia="en-GB"/>
              </w:rPr>
              <w:t>N</w:t>
            </w:r>
          </w:p>
        </w:tc>
        <w:tc>
          <w:tcPr>
            <w:tcW w:w="1040" w:type="dxa"/>
            <w:tcBorders>
              <w:top w:val="single" w:sz="4" w:space="0" w:color="auto"/>
              <w:left w:val="nil"/>
              <w:bottom w:val="single" w:sz="4" w:space="0" w:color="auto"/>
              <w:right w:val="nil"/>
            </w:tcBorders>
            <w:shd w:val="clear" w:color="auto" w:fill="auto"/>
            <w:noWrap/>
            <w:vAlign w:val="bottom"/>
            <w:hideMark/>
          </w:tcPr>
          <w:p w14:paraId="5567C243" w14:textId="77777777" w:rsidR="00EE311F" w:rsidRPr="00D2057F" w:rsidRDefault="00EE311F" w:rsidP="00515E57">
            <w:pPr>
              <w:spacing w:after="0" w:line="240" w:lineRule="auto"/>
              <w:jc w:val="center"/>
              <w:rPr>
                <w:rFonts w:ascii="Calibri" w:eastAsia="Times New Roman" w:hAnsi="Calibri" w:cs="Calibri"/>
                <w:b/>
                <w:bCs/>
                <w:color w:val="000000"/>
                <w:lang w:eastAsia="en-GB"/>
              </w:rPr>
            </w:pPr>
            <w:r w:rsidRPr="00D2057F">
              <w:rPr>
                <w:rFonts w:ascii="Calibri" w:eastAsia="Times New Roman" w:hAnsi="Calibri" w:cs="Calibri"/>
                <w:b/>
                <w:bCs/>
                <w:color w:val="000000"/>
                <w:lang w:eastAsia="en-GB"/>
              </w:rPr>
              <w:t>281413</w:t>
            </w:r>
          </w:p>
        </w:tc>
        <w:tc>
          <w:tcPr>
            <w:tcW w:w="1040" w:type="dxa"/>
            <w:tcBorders>
              <w:top w:val="single" w:sz="4" w:space="0" w:color="auto"/>
              <w:left w:val="nil"/>
              <w:bottom w:val="single" w:sz="4" w:space="0" w:color="auto"/>
              <w:right w:val="nil"/>
            </w:tcBorders>
            <w:shd w:val="clear" w:color="auto" w:fill="auto"/>
            <w:noWrap/>
            <w:vAlign w:val="bottom"/>
            <w:hideMark/>
          </w:tcPr>
          <w:p w14:paraId="08945B7C" w14:textId="77777777" w:rsidR="00EE311F" w:rsidRPr="00D2057F" w:rsidRDefault="00EE311F" w:rsidP="00515E57">
            <w:pPr>
              <w:spacing w:after="0" w:line="240" w:lineRule="auto"/>
              <w:jc w:val="center"/>
              <w:rPr>
                <w:rFonts w:ascii="Calibri" w:eastAsia="Times New Roman" w:hAnsi="Calibri" w:cs="Calibri"/>
                <w:b/>
                <w:bCs/>
                <w:color w:val="000000"/>
                <w:lang w:eastAsia="en-GB"/>
              </w:rPr>
            </w:pPr>
            <w:r w:rsidRPr="00D2057F">
              <w:rPr>
                <w:rFonts w:ascii="Calibri" w:eastAsia="Times New Roman" w:hAnsi="Calibri" w:cs="Calibri"/>
                <w:b/>
                <w:bCs/>
                <w:color w:val="000000"/>
                <w:lang w:eastAsia="en-GB"/>
              </w:rPr>
              <w:t>279693</w:t>
            </w:r>
          </w:p>
        </w:tc>
        <w:tc>
          <w:tcPr>
            <w:tcW w:w="1040" w:type="dxa"/>
            <w:tcBorders>
              <w:top w:val="single" w:sz="4" w:space="0" w:color="auto"/>
              <w:left w:val="nil"/>
              <w:bottom w:val="single" w:sz="4" w:space="0" w:color="auto"/>
              <w:right w:val="nil"/>
            </w:tcBorders>
            <w:shd w:val="clear" w:color="auto" w:fill="auto"/>
            <w:noWrap/>
            <w:vAlign w:val="bottom"/>
            <w:hideMark/>
          </w:tcPr>
          <w:p w14:paraId="3E86610A" w14:textId="77777777" w:rsidR="00EE311F" w:rsidRPr="00D2057F" w:rsidRDefault="00EE311F" w:rsidP="00515E57">
            <w:pPr>
              <w:spacing w:after="0" w:line="240" w:lineRule="auto"/>
              <w:jc w:val="center"/>
              <w:rPr>
                <w:rFonts w:ascii="Calibri" w:eastAsia="Times New Roman" w:hAnsi="Calibri" w:cs="Calibri"/>
                <w:b/>
                <w:bCs/>
                <w:color w:val="000000"/>
                <w:lang w:eastAsia="en-GB"/>
              </w:rPr>
            </w:pPr>
            <w:r w:rsidRPr="00D2057F">
              <w:rPr>
                <w:rFonts w:ascii="Calibri" w:eastAsia="Times New Roman" w:hAnsi="Calibri" w:cs="Calibri"/>
                <w:b/>
                <w:bCs/>
                <w:color w:val="000000"/>
                <w:lang w:eastAsia="en-GB"/>
              </w:rPr>
              <w:t>279693</w:t>
            </w:r>
          </w:p>
        </w:tc>
        <w:tc>
          <w:tcPr>
            <w:tcW w:w="1040" w:type="dxa"/>
            <w:tcBorders>
              <w:top w:val="single" w:sz="4" w:space="0" w:color="auto"/>
              <w:left w:val="nil"/>
              <w:bottom w:val="single" w:sz="4" w:space="0" w:color="auto"/>
              <w:right w:val="nil"/>
            </w:tcBorders>
            <w:shd w:val="clear" w:color="auto" w:fill="auto"/>
            <w:noWrap/>
            <w:vAlign w:val="bottom"/>
            <w:hideMark/>
          </w:tcPr>
          <w:p w14:paraId="444590ED" w14:textId="77777777" w:rsidR="00EE311F" w:rsidRPr="00D2057F" w:rsidRDefault="00EE311F" w:rsidP="00515E57">
            <w:pPr>
              <w:spacing w:after="0" w:line="240" w:lineRule="auto"/>
              <w:jc w:val="center"/>
              <w:rPr>
                <w:rFonts w:ascii="Calibri" w:eastAsia="Times New Roman" w:hAnsi="Calibri" w:cs="Calibri"/>
                <w:b/>
                <w:bCs/>
                <w:color w:val="000000"/>
                <w:lang w:eastAsia="en-GB"/>
              </w:rPr>
            </w:pPr>
            <w:r w:rsidRPr="00D2057F">
              <w:rPr>
                <w:rFonts w:ascii="Calibri" w:eastAsia="Times New Roman" w:hAnsi="Calibri" w:cs="Calibri"/>
                <w:b/>
                <w:bCs/>
                <w:color w:val="000000"/>
                <w:lang w:eastAsia="en-GB"/>
              </w:rPr>
              <w:t>279693</w:t>
            </w:r>
          </w:p>
        </w:tc>
        <w:tc>
          <w:tcPr>
            <w:tcW w:w="1040" w:type="dxa"/>
            <w:tcBorders>
              <w:top w:val="single" w:sz="4" w:space="0" w:color="auto"/>
              <w:left w:val="nil"/>
              <w:bottom w:val="single" w:sz="4" w:space="0" w:color="auto"/>
              <w:right w:val="nil"/>
            </w:tcBorders>
            <w:shd w:val="clear" w:color="auto" w:fill="auto"/>
            <w:noWrap/>
            <w:vAlign w:val="bottom"/>
            <w:hideMark/>
          </w:tcPr>
          <w:p w14:paraId="3BD5BB33" w14:textId="77777777" w:rsidR="00EE311F" w:rsidRPr="00D2057F" w:rsidRDefault="00EE311F" w:rsidP="00515E57">
            <w:pPr>
              <w:spacing w:after="0" w:line="240" w:lineRule="auto"/>
              <w:jc w:val="center"/>
              <w:rPr>
                <w:rFonts w:ascii="Calibri" w:eastAsia="Times New Roman" w:hAnsi="Calibri" w:cs="Calibri"/>
                <w:b/>
                <w:bCs/>
                <w:color w:val="000000"/>
                <w:lang w:eastAsia="en-GB"/>
              </w:rPr>
            </w:pPr>
            <w:r w:rsidRPr="00D2057F">
              <w:rPr>
                <w:rFonts w:ascii="Calibri" w:eastAsia="Times New Roman" w:hAnsi="Calibri" w:cs="Calibri"/>
                <w:b/>
                <w:bCs/>
                <w:color w:val="000000"/>
                <w:lang w:eastAsia="en-GB"/>
              </w:rPr>
              <w:t>279693</w:t>
            </w:r>
          </w:p>
        </w:tc>
        <w:tc>
          <w:tcPr>
            <w:tcW w:w="1040" w:type="dxa"/>
            <w:tcBorders>
              <w:top w:val="single" w:sz="4" w:space="0" w:color="auto"/>
              <w:left w:val="nil"/>
              <w:bottom w:val="single" w:sz="4" w:space="0" w:color="auto"/>
              <w:right w:val="nil"/>
            </w:tcBorders>
            <w:shd w:val="clear" w:color="auto" w:fill="auto"/>
            <w:noWrap/>
            <w:vAlign w:val="bottom"/>
            <w:hideMark/>
          </w:tcPr>
          <w:p w14:paraId="117B6AF9" w14:textId="77777777" w:rsidR="00EE311F" w:rsidRPr="00D2057F" w:rsidRDefault="00EE311F" w:rsidP="00515E57">
            <w:pPr>
              <w:spacing w:after="0" w:line="240" w:lineRule="auto"/>
              <w:jc w:val="center"/>
              <w:rPr>
                <w:rFonts w:ascii="Calibri" w:eastAsia="Times New Roman" w:hAnsi="Calibri" w:cs="Calibri"/>
                <w:b/>
                <w:bCs/>
                <w:color w:val="000000"/>
                <w:lang w:eastAsia="en-GB"/>
              </w:rPr>
            </w:pPr>
            <w:r w:rsidRPr="00D2057F">
              <w:rPr>
                <w:rFonts w:ascii="Calibri" w:eastAsia="Times New Roman" w:hAnsi="Calibri" w:cs="Calibri"/>
                <w:b/>
                <w:bCs/>
                <w:color w:val="000000"/>
                <w:lang w:eastAsia="en-GB"/>
              </w:rPr>
              <w:t>276833</w:t>
            </w:r>
          </w:p>
        </w:tc>
      </w:tr>
      <w:tr w:rsidR="00EE311F" w:rsidRPr="00D2057F" w14:paraId="2C6307D4" w14:textId="77777777" w:rsidTr="00515E57">
        <w:trPr>
          <w:trHeight w:val="290"/>
          <w:jc w:val="center"/>
        </w:trPr>
        <w:tc>
          <w:tcPr>
            <w:tcW w:w="1800" w:type="dxa"/>
            <w:tcBorders>
              <w:top w:val="nil"/>
              <w:left w:val="nil"/>
              <w:bottom w:val="nil"/>
              <w:right w:val="nil"/>
            </w:tcBorders>
            <w:shd w:val="clear" w:color="auto" w:fill="auto"/>
            <w:noWrap/>
            <w:vAlign w:val="bottom"/>
            <w:hideMark/>
          </w:tcPr>
          <w:p w14:paraId="55D0952D" w14:textId="77777777" w:rsidR="00EE311F" w:rsidRPr="00D2057F" w:rsidRDefault="00EE311F" w:rsidP="00515E57">
            <w:pPr>
              <w:spacing w:after="0" w:line="240" w:lineRule="auto"/>
              <w:rPr>
                <w:rFonts w:ascii="Calibri" w:eastAsia="Times New Roman" w:hAnsi="Calibri" w:cs="Calibri"/>
                <w:color w:val="000000"/>
                <w:lang w:eastAsia="en-GB"/>
              </w:rPr>
            </w:pPr>
            <w:r w:rsidRPr="00D2057F">
              <w:rPr>
                <w:rFonts w:ascii="Calibri" w:eastAsia="Times New Roman" w:hAnsi="Calibri" w:cs="Calibri"/>
                <w:color w:val="000000"/>
                <w:lang w:eastAsia="en-GB"/>
              </w:rPr>
              <w:t>Controls</w:t>
            </w:r>
          </w:p>
        </w:tc>
        <w:tc>
          <w:tcPr>
            <w:tcW w:w="1040" w:type="dxa"/>
            <w:tcBorders>
              <w:top w:val="nil"/>
              <w:left w:val="nil"/>
              <w:bottom w:val="nil"/>
              <w:right w:val="nil"/>
            </w:tcBorders>
            <w:shd w:val="clear" w:color="auto" w:fill="auto"/>
            <w:noWrap/>
            <w:vAlign w:val="bottom"/>
            <w:hideMark/>
          </w:tcPr>
          <w:p w14:paraId="3DF7C7F3" w14:textId="77777777" w:rsidR="00EE311F" w:rsidRPr="00D2057F" w:rsidRDefault="00EE311F" w:rsidP="00515E57">
            <w:pPr>
              <w:spacing w:after="0" w:line="240" w:lineRule="auto"/>
              <w:rPr>
                <w:rFonts w:ascii="Calibri" w:eastAsia="Times New Roman" w:hAnsi="Calibri" w:cs="Calibri"/>
                <w:color w:val="000000"/>
                <w:lang w:eastAsia="en-GB"/>
              </w:rPr>
            </w:pPr>
          </w:p>
        </w:tc>
        <w:tc>
          <w:tcPr>
            <w:tcW w:w="1040" w:type="dxa"/>
            <w:tcBorders>
              <w:top w:val="nil"/>
              <w:left w:val="nil"/>
              <w:bottom w:val="nil"/>
              <w:right w:val="nil"/>
            </w:tcBorders>
            <w:shd w:val="clear" w:color="auto" w:fill="auto"/>
            <w:noWrap/>
            <w:vAlign w:val="bottom"/>
            <w:hideMark/>
          </w:tcPr>
          <w:p w14:paraId="65BE7EA1" w14:textId="77777777" w:rsidR="00EE311F" w:rsidRPr="00D2057F" w:rsidRDefault="00EE311F" w:rsidP="00515E57">
            <w:pPr>
              <w:spacing w:after="0" w:line="240" w:lineRule="auto"/>
              <w:jc w:val="center"/>
              <w:rPr>
                <w:rFonts w:ascii="Times New Roman" w:eastAsia="Times New Roman" w:hAnsi="Times New Roman" w:cs="Times New Roman"/>
                <w:sz w:val="20"/>
                <w:szCs w:val="20"/>
                <w:lang w:eastAsia="en-GB"/>
              </w:rPr>
            </w:pPr>
          </w:p>
        </w:tc>
        <w:tc>
          <w:tcPr>
            <w:tcW w:w="1040" w:type="dxa"/>
            <w:tcBorders>
              <w:top w:val="nil"/>
              <w:left w:val="nil"/>
              <w:bottom w:val="nil"/>
              <w:right w:val="nil"/>
            </w:tcBorders>
            <w:shd w:val="clear" w:color="auto" w:fill="auto"/>
            <w:noWrap/>
            <w:vAlign w:val="bottom"/>
            <w:hideMark/>
          </w:tcPr>
          <w:p w14:paraId="580CE005" w14:textId="77777777" w:rsidR="00EE311F" w:rsidRPr="00D2057F" w:rsidRDefault="00EE311F" w:rsidP="00515E57">
            <w:pPr>
              <w:spacing w:after="0" w:line="240" w:lineRule="auto"/>
              <w:jc w:val="center"/>
              <w:rPr>
                <w:rFonts w:ascii="Times New Roman" w:eastAsia="Times New Roman" w:hAnsi="Times New Roman" w:cs="Times New Roman"/>
                <w:sz w:val="20"/>
                <w:szCs w:val="20"/>
                <w:lang w:eastAsia="en-GB"/>
              </w:rPr>
            </w:pPr>
          </w:p>
        </w:tc>
        <w:tc>
          <w:tcPr>
            <w:tcW w:w="1040" w:type="dxa"/>
            <w:tcBorders>
              <w:top w:val="nil"/>
              <w:left w:val="nil"/>
              <w:bottom w:val="nil"/>
              <w:right w:val="nil"/>
            </w:tcBorders>
            <w:shd w:val="clear" w:color="auto" w:fill="auto"/>
            <w:noWrap/>
            <w:vAlign w:val="bottom"/>
            <w:hideMark/>
          </w:tcPr>
          <w:p w14:paraId="00FB117D" w14:textId="77777777" w:rsidR="00EE311F" w:rsidRPr="00D2057F" w:rsidRDefault="00EE311F" w:rsidP="00515E57">
            <w:pPr>
              <w:spacing w:after="0" w:line="240" w:lineRule="auto"/>
              <w:jc w:val="center"/>
              <w:rPr>
                <w:rFonts w:ascii="Times New Roman" w:eastAsia="Times New Roman" w:hAnsi="Times New Roman" w:cs="Times New Roman"/>
                <w:sz w:val="20"/>
                <w:szCs w:val="20"/>
                <w:lang w:eastAsia="en-GB"/>
              </w:rPr>
            </w:pPr>
          </w:p>
        </w:tc>
        <w:tc>
          <w:tcPr>
            <w:tcW w:w="1040" w:type="dxa"/>
            <w:tcBorders>
              <w:top w:val="nil"/>
              <w:left w:val="nil"/>
              <w:bottom w:val="nil"/>
              <w:right w:val="nil"/>
            </w:tcBorders>
            <w:shd w:val="clear" w:color="auto" w:fill="auto"/>
            <w:noWrap/>
            <w:vAlign w:val="bottom"/>
            <w:hideMark/>
          </w:tcPr>
          <w:p w14:paraId="3ADA8A94" w14:textId="77777777" w:rsidR="00EE311F" w:rsidRPr="00D2057F" w:rsidRDefault="00EE311F" w:rsidP="00515E57">
            <w:pPr>
              <w:spacing w:after="0" w:line="240" w:lineRule="auto"/>
              <w:jc w:val="center"/>
              <w:rPr>
                <w:rFonts w:ascii="Times New Roman" w:eastAsia="Times New Roman" w:hAnsi="Times New Roman" w:cs="Times New Roman"/>
                <w:sz w:val="20"/>
                <w:szCs w:val="20"/>
                <w:lang w:eastAsia="en-GB"/>
              </w:rPr>
            </w:pPr>
          </w:p>
        </w:tc>
        <w:tc>
          <w:tcPr>
            <w:tcW w:w="1040" w:type="dxa"/>
            <w:tcBorders>
              <w:top w:val="nil"/>
              <w:left w:val="nil"/>
              <w:bottom w:val="nil"/>
              <w:right w:val="nil"/>
            </w:tcBorders>
            <w:shd w:val="clear" w:color="auto" w:fill="auto"/>
            <w:noWrap/>
            <w:vAlign w:val="bottom"/>
            <w:hideMark/>
          </w:tcPr>
          <w:p w14:paraId="6D032302" w14:textId="77777777" w:rsidR="00EE311F" w:rsidRPr="00D2057F" w:rsidRDefault="00EE311F" w:rsidP="00515E57">
            <w:pPr>
              <w:spacing w:after="0" w:line="240" w:lineRule="auto"/>
              <w:jc w:val="center"/>
              <w:rPr>
                <w:rFonts w:ascii="Times New Roman" w:eastAsia="Times New Roman" w:hAnsi="Times New Roman" w:cs="Times New Roman"/>
                <w:sz w:val="20"/>
                <w:szCs w:val="20"/>
                <w:lang w:eastAsia="en-GB"/>
              </w:rPr>
            </w:pPr>
          </w:p>
        </w:tc>
      </w:tr>
      <w:tr w:rsidR="00EE311F" w:rsidRPr="00D2057F" w14:paraId="6219ED66" w14:textId="77777777" w:rsidTr="00515E57">
        <w:trPr>
          <w:trHeight w:val="290"/>
          <w:jc w:val="center"/>
        </w:trPr>
        <w:tc>
          <w:tcPr>
            <w:tcW w:w="1800" w:type="dxa"/>
            <w:tcBorders>
              <w:top w:val="nil"/>
              <w:left w:val="nil"/>
              <w:bottom w:val="nil"/>
              <w:right w:val="nil"/>
            </w:tcBorders>
            <w:shd w:val="clear" w:color="auto" w:fill="auto"/>
            <w:noWrap/>
            <w:vAlign w:val="bottom"/>
            <w:hideMark/>
          </w:tcPr>
          <w:p w14:paraId="6E300C7B" w14:textId="77777777" w:rsidR="00EE311F" w:rsidRPr="00D2057F" w:rsidRDefault="00EE311F" w:rsidP="00515E57">
            <w:pPr>
              <w:spacing w:after="0" w:line="240" w:lineRule="auto"/>
              <w:rPr>
                <w:rFonts w:ascii="Calibri" w:eastAsia="Times New Roman" w:hAnsi="Calibri" w:cs="Calibri"/>
                <w:color w:val="000000"/>
                <w:lang w:eastAsia="en-GB"/>
              </w:rPr>
            </w:pPr>
            <w:r w:rsidRPr="00D2057F">
              <w:rPr>
                <w:rFonts w:ascii="Calibri" w:eastAsia="Times New Roman" w:hAnsi="Calibri" w:cs="Calibri"/>
                <w:color w:val="000000"/>
                <w:lang w:eastAsia="en-GB"/>
              </w:rPr>
              <w:t>KS1 maths scores</w:t>
            </w:r>
          </w:p>
        </w:tc>
        <w:tc>
          <w:tcPr>
            <w:tcW w:w="1040" w:type="dxa"/>
            <w:tcBorders>
              <w:top w:val="nil"/>
              <w:left w:val="nil"/>
              <w:bottom w:val="nil"/>
              <w:right w:val="nil"/>
            </w:tcBorders>
            <w:shd w:val="clear" w:color="auto" w:fill="auto"/>
            <w:noWrap/>
            <w:vAlign w:val="bottom"/>
            <w:hideMark/>
          </w:tcPr>
          <w:p w14:paraId="445BBAED"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0E1EF3D6"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Y</w:t>
            </w:r>
          </w:p>
        </w:tc>
        <w:tc>
          <w:tcPr>
            <w:tcW w:w="1040" w:type="dxa"/>
            <w:tcBorders>
              <w:top w:val="nil"/>
              <w:left w:val="nil"/>
              <w:bottom w:val="nil"/>
              <w:right w:val="nil"/>
            </w:tcBorders>
            <w:shd w:val="clear" w:color="auto" w:fill="auto"/>
            <w:noWrap/>
            <w:vAlign w:val="bottom"/>
            <w:hideMark/>
          </w:tcPr>
          <w:p w14:paraId="547D1522"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Y</w:t>
            </w:r>
          </w:p>
        </w:tc>
        <w:tc>
          <w:tcPr>
            <w:tcW w:w="1040" w:type="dxa"/>
            <w:tcBorders>
              <w:top w:val="nil"/>
              <w:left w:val="nil"/>
              <w:bottom w:val="nil"/>
              <w:right w:val="nil"/>
            </w:tcBorders>
            <w:shd w:val="clear" w:color="auto" w:fill="auto"/>
            <w:noWrap/>
            <w:vAlign w:val="bottom"/>
            <w:hideMark/>
          </w:tcPr>
          <w:p w14:paraId="5DA0A2A0"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Y</w:t>
            </w:r>
          </w:p>
        </w:tc>
        <w:tc>
          <w:tcPr>
            <w:tcW w:w="1040" w:type="dxa"/>
            <w:tcBorders>
              <w:top w:val="nil"/>
              <w:left w:val="nil"/>
              <w:bottom w:val="nil"/>
              <w:right w:val="nil"/>
            </w:tcBorders>
            <w:shd w:val="clear" w:color="auto" w:fill="auto"/>
            <w:noWrap/>
            <w:vAlign w:val="bottom"/>
            <w:hideMark/>
          </w:tcPr>
          <w:p w14:paraId="768BB5D4"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Y</w:t>
            </w:r>
          </w:p>
        </w:tc>
        <w:tc>
          <w:tcPr>
            <w:tcW w:w="1040" w:type="dxa"/>
            <w:tcBorders>
              <w:top w:val="nil"/>
              <w:left w:val="nil"/>
              <w:bottom w:val="nil"/>
              <w:right w:val="nil"/>
            </w:tcBorders>
            <w:shd w:val="clear" w:color="auto" w:fill="auto"/>
            <w:noWrap/>
            <w:vAlign w:val="bottom"/>
            <w:hideMark/>
          </w:tcPr>
          <w:p w14:paraId="68CB80D2"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Y</w:t>
            </w:r>
          </w:p>
        </w:tc>
      </w:tr>
      <w:tr w:rsidR="00EE311F" w:rsidRPr="00D2057F" w14:paraId="76B0555E" w14:textId="77777777" w:rsidTr="00515E57">
        <w:trPr>
          <w:trHeight w:val="290"/>
          <w:jc w:val="center"/>
        </w:trPr>
        <w:tc>
          <w:tcPr>
            <w:tcW w:w="1800" w:type="dxa"/>
            <w:tcBorders>
              <w:top w:val="nil"/>
              <w:left w:val="nil"/>
              <w:bottom w:val="nil"/>
              <w:right w:val="nil"/>
            </w:tcBorders>
            <w:shd w:val="clear" w:color="auto" w:fill="auto"/>
            <w:noWrap/>
            <w:vAlign w:val="bottom"/>
            <w:hideMark/>
          </w:tcPr>
          <w:p w14:paraId="17B55E97" w14:textId="77777777" w:rsidR="00EE311F" w:rsidRPr="00D2057F" w:rsidRDefault="00EE311F" w:rsidP="00515E57">
            <w:pPr>
              <w:spacing w:after="0" w:line="240" w:lineRule="auto"/>
              <w:rPr>
                <w:rFonts w:ascii="Calibri" w:eastAsia="Times New Roman" w:hAnsi="Calibri" w:cs="Calibri"/>
                <w:color w:val="000000"/>
                <w:lang w:eastAsia="en-GB"/>
              </w:rPr>
            </w:pPr>
            <w:r w:rsidRPr="00D2057F">
              <w:rPr>
                <w:rFonts w:ascii="Calibri" w:eastAsia="Times New Roman" w:hAnsi="Calibri" w:cs="Calibri"/>
                <w:color w:val="000000"/>
                <w:lang w:eastAsia="en-GB"/>
              </w:rPr>
              <w:t>Cohort</w:t>
            </w:r>
          </w:p>
        </w:tc>
        <w:tc>
          <w:tcPr>
            <w:tcW w:w="1040" w:type="dxa"/>
            <w:tcBorders>
              <w:top w:val="nil"/>
              <w:left w:val="nil"/>
              <w:bottom w:val="nil"/>
              <w:right w:val="nil"/>
            </w:tcBorders>
            <w:shd w:val="clear" w:color="auto" w:fill="auto"/>
            <w:noWrap/>
            <w:vAlign w:val="bottom"/>
            <w:hideMark/>
          </w:tcPr>
          <w:p w14:paraId="23FA75FD"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5A8D280D"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Y</w:t>
            </w:r>
          </w:p>
        </w:tc>
        <w:tc>
          <w:tcPr>
            <w:tcW w:w="1040" w:type="dxa"/>
            <w:tcBorders>
              <w:top w:val="nil"/>
              <w:left w:val="nil"/>
              <w:bottom w:val="nil"/>
              <w:right w:val="nil"/>
            </w:tcBorders>
            <w:shd w:val="clear" w:color="auto" w:fill="auto"/>
            <w:noWrap/>
            <w:vAlign w:val="bottom"/>
            <w:hideMark/>
          </w:tcPr>
          <w:p w14:paraId="74465CF3"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Y</w:t>
            </w:r>
          </w:p>
        </w:tc>
        <w:tc>
          <w:tcPr>
            <w:tcW w:w="1040" w:type="dxa"/>
            <w:tcBorders>
              <w:top w:val="nil"/>
              <w:left w:val="nil"/>
              <w:bottom w:val="nil"/>
              <w:right w:val="nil"/>
            </w:tcBorders>
            <w:shd w:val="clear" w:color="auto" w:fill="auto"/>
            <w:noWrap/>
            <w:vAlign w:val="bottom"/>
            <w:hideMark/>
          </w:tcPr>
          <w:p w14:paraId="4A68DB80"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Y</w:t>
            </w:r>
          </w:p>
        </w:tc>
        <w:tc>
          <w:tcPr>
            <w:tcW w:w="1040" w:type="dxa"/>
            <w:tcBorders>
              <w:top w:val="nil"/>
              <w:left w:val="nil"/>
              <w:bottom w:val="nil"/>
              <w:right w:val="nil"/>
            </w:tcBorders>
            <w:shd w:val="clear" w:color="auto" w:fill="auto"/>
            <w:noWrap/>
            <w:vAlign w:val="bottom"/>
            <w:hideMark/>
          </w:tcPr>
          <w:p w14:paraId="33B995D7"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Y</w:t>
            </w:r>
          </w:p>
        </w:tc>
        <w:tc>
          <w:tcPr>
            <w:tcW w:w="1040" w:type="dxa"/>
            <w:tcBorders>
              <w:top w:val="nil"/>
              <w:left w:val="nil"/>
              <w:bottom w:val="nil"/>
              <w:right w:val="nil"/>
            </w:tcBorders>
            <w:shd w:val="clear" w:color="auto" w:fill="auto"/>
            <w:noWrap/>
            <w:vAlign w:val="bottom"/>
            <w:hideMark/>
          </w:tcPr>
          <w:p w14:paraId="71B638DC"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Y</w:t>
            </w:r>
          </w:p>
        </w:tc>
      </w:tr>
      <w:tr w:rsidR="00EE311F" w:rsidRPr="00D2057F" w14:paraId="01336B7B" w14:textId="77777777" w:rsidTr="00515E57">
        <w:trPr>
          <w:trHeight w:val="290"/>
          <w:jc w:val="center"/>
        </w:trPr>
        <w:tc>
          <w:tcPr>
            <w:tcW w:w="1800" w:type="dxa"/>
            <w:tcBorders>
              <w:top w:val="nil"/>
              <w:left w:val="nil"/>
              <w:bottom w:val="nil"/>
              <w:right w:val="nil"/>
            </w:tcBorders>
            <w:shd w:val="clear" w:color="auto" w:fill="auto"/>
            <w:noWrap/>
            <w:vAlign w:val="bottom"/>
            <w:hideMark/>
          </w:tcPr>
          <w:p w14:paraId="65C7E451" w14:textId="77777777" w:rsidR="00EE311F" w:rsidRPr="00D2057F" w:rsidRDefault="00EE311F" w:rsidP="00515E57">
            <w:pPr>
              <w:spacing w:after="0" w:line="240" w:lineRule="auto"/>
              <w:rPr>
                <w:rFonts w:ascii="Calibri" w:eastAsia="Times New Roman" w:hAnsi="Calibri" w:cs="Calibri"/>
                <w:color w:val="000000"/>
                <w:lang w:eastAsia="en-GB"/>
              </w:rPr>
            </w:pPr>
            <w:r w:rsidRPr="00D2057F">
              <w:rPr>
                <w:rFonts w:ascii="Calibri" w:eastAsia="Times New Roman" w:hAnsi="Calibri" w:cs="Calibri"/>
                <w:color w:val="000000"/>
                <w:lang w:eastAsia="en-GB"/>
              </w:rPr>
              <w:t>KS2 scores</w:t>
            </w:r>
          </w:p>
        </w:tc>
        <w:tc>
          <w:tcPr>
            <w:tcW w:w="1040" w:type="dxa"/>
            <w:tcBorders>
              <w:top w:val="nil"/>
              <w:left w:val="nil"/>
              <w:bottom w:val="nil"/>
              <w:right w:val="nil"/>
            </w:tcBorders>
            <w:shd w:val="clear" w:color="auto" w:fill="auto"/>
            <w:noWrap/>
            <w:vAlign w:val="bottom"/>
            <w:hideMark/>
          </w:tcPr>
          <w:p w14:paraId="408EEA4B"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45BF042E"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Y</w:t>
            </w:r>
          </w:p>
        </w:tc>
        <w:tc>
          <w:tcPr>
            <w:tcW w:w="1040" w:type="dxa"/>
            <w:tcBorders>
              <w:top w:val="nil"/>
              <w:left w:val="nil"/>
              <w:bottom w:val="nil"/>
              <w:right w:val="nil"/>
            </w:tcBorders>
            <w:shd w:val="clear" w:color="auto" w:fill="auto"/>
            <w:noWrap/>
            <w:vAlign w:val="bottom"/>
            <w:hideMark/>
          </w:tcPr>
          <w:p w14:paraId="4C1036BF"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Y</w:t>
            </w:r>
          </w:p>
        </w:tc>
        <w:tc>
          <w:tcPr>
            <w:tcW w:w="1040" w:type="dxa"/>
            <w:tcBorders>
              <w:top w:val="nil"/>
              <w:left w:val="nil"/>
              <w:bottom w:val="nil"/>
              <w:right w:val="nil"/>
            </w:tcBorders>
            <w:shd w:val="clear" w:color="auto" w:fill="auto"/>
            <w:noWrap/>
            <w:vAlign w:val="bottom"/>
            <w:hideMark/>
          </w:tcPr>
          <w:p w14:paraId="251115A7"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Y</w:t>
            </w:r>
          </w:p>
        </w:tc>
        <w:tc>
          <w:tcPr>
            <w:tcW w:w="1040" w:type="dxa"/>
            <w:tcBorders>
              <w:top w:val="nil"/>
              <w:left w:val="nil"/>
              <w:bottom w:val="nil"/>
              <w:right w:val="nil"/>
            </w:tcBorders>
            <w:shd w:val="clear" w:color="auto" w:fill="auto"/>
            <w:noWrap/>
            <w:vAlign w:val="bottom"/>
            <w:hideMark/>
          </w:tcPr>
          <w:p w14:paraId="1B788076"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Y</w:t>
            </w:r>
          </w:p>
        </w:tc>
        <w:tc>
          <w:tcPr>
            <w:tcW w:w="1040" w:type="dxa"/>
            <w:tcBorders>
              <w:top w:val="nil"/>
              <w:left w:val="nil"/>
              <w:bottom w:val="nil"/>
              <w:right w:val="nil"/>
            </w:tcBorders>
            <w:shd w:val="clear" w:color="auto" w:fill="auto"/>
            <w:noWrap/>
            <w:vAlign w:val="bottom"/>
            <w:hideMark/>
          </w:tcPr>
          <w:p w14:paraId="78E4EBB5"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Y</w:t>
            </w:r>
          </w:p>
        </w:tc>
      </w:tr>
      <w:tr w:rsidR="00EE311F" w:rsidRPr="00D2057F" w14:paraId="585791B5" w14:textId="77777777" w:rsidTr="00515E57">
        <w:trPr>
          <w:trHeight w:val="290"/>
          <w:jc w:val="center"/>
        </w:trPr>
        <w:tc>
          <w:tcPr>
            <w:tcW w:w="1800" w:type="dxa"/>
            <w:tcBorders>
              <w:top w:val="nil"/>
              <w:left w:val="nil"/>
              <w:bottom w:val="nil"/>
              <w:right w:val="nil"/>
            </w:tcBorders>
            <w:shd w:val="clear" w:color="auto" w:fill="auto"/>
            <w:noWrap/>
            <w:vAlign w:val="bottom"/>
            <w:hideMark/>
          </w:tcPr>
          <w:p w14:paraId="2CAEF060" w14:textId="77777777" w:rsidR="00EE311F" w:rsidRPr="00D2057F" w:rsidRDefault="00EE311F" w:rsidP="00515E57">
            <w:pPr>
              <w:spacing w:after="0" w:line="240" w:lineRule="auto"/>
              <w:rPr>
                <w:rFonts w:ascii="Calibri" w:eastAsia="Times New Roman" w:hAnsi="Calibri" w:cs="Calibri"/>
                <w:color w:val="000000"/>
                <w:lang w:eastAsia="en-GB"/>
              </w:rPr>
            </w:pPr>
            <w:r w:rsidRPr="00D2057F">
              <w:rPr>
                <w:rFonts w:ascii="Calibri" w:eastAsia="Times New Roman" w:hAnsi="Calibri" w:cs="Calibri"/>
                <w:color w:val="000000"/>
                <w:lang w:eastAsia="en-GB"/>
              </w:rPr>
              <w:t>School absences</w:t>
            </w:r>
          </w:p>
        </w:tc>
        <w:tc>
          <w:tcPr>
            <w:tcW w:w="1040" w:type="dxa"/>
            <w:tcBorders>
              <w:top w:val="nil"/>
              <w:left w:val="nil"/>
              <w:bottom w:val="nil"/>
              <w:right w:val="nil"/>
            </w:tcBorders>
            <w:shd w:val="clear" w:color="auto" w:fill="auto"/>
            <w:noWrap/>
            <w:vAlign w:val="bottom"/>
            <w:hideMark/>
          </w:tcPr>
          <w:p w14:paraId="4E487089"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4C121F0F"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6E3E582A"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Y</w:t>
            </w:r>
          </w:p>
        </w:tc>
        <w:tc>
          <w:tcPr>
            <w:tcW w:w="1040" w:type="dxa"/>
            <w:tcBorders>
              <w:top w:val="nil"/>
              <w:left w:val="nil"/>
              <w:bottom w:val="nil"/>
              <w:right w:val="nil"/>
            </w:tcBorders>
            <w:shd w:val="clear" w:color="auto" w:fill="auto"/>
            <w:noWrap/>
            <w:vAlign w:val="bottom"/>
            <w:hideMark/>
          </w:tcPr>
          <w:p w14:paraId="68C93BAA"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Y</w:t>
            </w:r>
          </w:p>
        </w:tc>
        <w:tc>
          <w:tcPr>
            <w:tcW w:w="1040" w:type="dxa"/>
            <w:tcBorders>
              <w:top w:val="nil"/>
              <w:left w:val="nil"/>
              <w:bottom w:val="nil"/>
              <w:right w:val="nil"/>
            </w:tcBorders>
            <w:shd w:val="clear" w:color="auto" w:fill="auto"/>
            <w:noWrap/>
            <w:vAlign w:val="bottom"/>
            <w:hideMark/>
          </w:tcPr>
          <w:p w14:paraId="0B02E511"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Y</w:t>
            </w:r>
          </w:p>
        </w:tc>
        <w:tc>
          <w:tcPr>
            <w:tcW w:w="1040" w:type="dxa"/>
            <w:tcBorders>
              <w:top w:val="nil"/>
              <w:left w:val="nil"/>
              <w:bottom w:val="nil"/>
              <w:right w:val="nil"/>
            </w:tcBorders>
            <w:shd w:val="clear" w:color="auto" w:fill="auto"/>
            <w:noWrap/>
            <w:vAlign w:val="bottom"/>
            <w:hideMark/>
          </w:tcPr>
          <w:p w14:paraId="091A7DC5"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Y</w:t>
            </w:r>
          </w:p>
        </w:tc>
      </w:tr>
      <w:tr w:rsidR="00EE311F" w:rsidRPr="00D2057F" w14:paraId="5998456A" w14:textId="77777777" w:rsidTr="00515E57">
        <w:trPr>
          <w:trHeight w:val="290"/>
          <w:jc w:val="center"/>
        </w:trPr>
        <w:tc>
          <w:tcPr>
            <w:tcW w:w="1800" w:type="dxa"/>
            <w:tcBorders>
              <w:top w:val="nil"/>
              <w:left w:val="nil"/>
              <w:bottom w:val="nil"/>
              <w:right w:val="nil"/>
            </w:tcBorders>
            <w:shd w:val="clear" w:color="auto" w:fill="auto"/>
            <w:noWrap/>
            <w:vAlign w:val="bottom"/>
            <w:hideMark/>
          </w:tcPr>
          <w:p w14:paraId="327DADDD" w14:textId="77777777" w:rsidR="00EE311F" w:rsidRPr="00D2057F" w:rsidRDefault="00EE311F" w:rsidP="00515E57">
            <w:pPr>
              <w:spacing w:after="0" w:line="240" w:lineRule="auto"/>
              <w:rPr>
                <w:rFonts w:ascii="Calibri" w:eastAsia="Times New Roman" w:hAnsi="Calibri" w:cs="Calibri"/>
                <w:color w:val="000000"/>
                <w:lang w:eastAsia="en-GB"/>
              </w:rPr>
            </w:pPr>
            <w:r w:rsidRPr="00D2057F">
              <w:rPr>
                <w:rFonts w:ascii="Calibri" w:eastAsia="Times New Roman" w:hAnsi="Calibri" w:cs="Calibri"/>
                <w:color w:val="000000"/>
                <w:lang w:eastAsia="en-GB"/>
              </w:rPr>
              <w:t>School exclusions</w:t>
            </w:r>
          </w:p>
        </w:tc>
        <w:tc>
          <w:tcPr>
            <w:tcW w:w="1040" w:type="dxa"/>
            <w:tcBorders>
              <w:top w:val="nil"/>
              <w:left w:val="nil"/>
              <w:bottom w:val="nil"/>
              <w:right w:val="nil"/>
            </w:tcBorders>
            <w:shd w:val="clear" w:color="auto" w:fill="auto"/>
            <w:noWrap/>
            <w:vAlign w:val="bottom"/>
            <w:hideMark/>
          </w:tcPr>
          <w:p w14:paraId="1A83BA59"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4A90B19D"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2BFAA03D"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48E21395"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Y</w:t>
            </w:r>
          </w:p>
        </w:tc>
        <w:tc>
          <w:tcPr>
            <w:tcW w:w="1040" w:type="dxa"/>
            <w:tcBorders>
              <w:top w:val="nil"/>
              <w:left w:val="nil"/>
              <w:bottom w:val="nil"/>
              <w:right w:val="nil"/>
            </w:tcBorders>
            <w:shd w:val="clear" w:color="auto" w:fill="auto"/>
            <w:noWrap/>
            <w:vAlign w:val="bottom"/>
            <w:hideMark/>
          </w:tcPr>
          <w:p w14:paraId="241629A6"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Y</w:t>
            </w:r>
          </w:p>
        </w:tc>
        <w:tc>
          <w:tcPr>
            <w:tcW w:w="1040" w:type="dxa"/>
            <w:tcBorders>
              <w:top w:val="nil"/>
              <w:left w:val="nil"/>
              <w:bottom w:val="nil"/>
              <w:right w:val="nil"/>
            </w:tcBorders>
            <w:shd w:val="clear" w:color="auto" w:fill="auto"/>
            <w:noWrap/>
            <w:vAlign w:val="bottom"/>
            <w:hideMark/>
          </w:tcPr>
          <w:p w14:paraId="01489C13"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Y</w:t>
            </w:r>
          </w:p>
        </w:tc>
      </w:tr>
      <w:tr w:rsidR="00EE311F" w:rsidRPr="00D2057F" w14:paraId="343CF141" w14:textId="77777777" w:rsidTr="00515E57">
        <w:trPr>
          <w:trHeight w:val="290"/>
          <w:jc w:val="center"/>
        </w:trPr>
        <w:tc>
          <w:tcPr>
            <w:tcW w:w="1800" w:type="dxa"/>
            <w:tcBorders>
              <w:top w:val="nil"/>
              <w:left w:val="nil"/>
              <w:bottom w:val="nil"/>
              <w:right w:val="nil"/>
            </w:tcBorders>
            <w:shd w:val="clear" w:color="auto" w:fill="auto"/>
            <w:noWrap/>
            <w:vAlign w:val="bottom"/>
            <w:hideMark/>
          </w:tcPr>
          <w:p w14:paraId="41ABDC69" w14:textId="77777777" w:rsidR="00EE311F" w:rsidRPr="00D2057F" w:rsidRDefault="00EE311F" w:rsidP="00515E57">
            <w:pPr>
              <w:spacing w:after="0" w:line="240" w:lineRule="auto"/>
              <w:rPr>
                <w:rFonts w:ascii="Calibri" w:eastAsia="Times New Roman" w:hAnsi="Calibri" w:cs="Calibri"/>
                <w:color w:val="000000"/>
                <w:lang w:eastAsia="en-GB"/>
              </w:rPr>
            </w:pPr>
            <w:r w:rsidRPr="00D2057F">
              <w:rPr>
                <w:rFonts w:ascii="Calibri" w:eastAsia="Times New Roman" w:hAnsi="Calibri" w:cs="Calibri"/>
                <w:color w:val="000000"/>
                <w:lang w:eastAsia="en-GB"/>
              </w:rPr>
              <w:t xml:space="preserve">School </w:t>
            </w:r>
            <w:r>
              <w:rPr>
                <w:rFonts w:ascii="Calibri" w:eastAsia="Times New Roman" w:hAnsi="Calibri" w:cs="Calibri"/>
                <w:color w:val="000000"/>
                <w:lang w:eastAsia="en-GB"/>
              </w:rPr>
              <w:t>cautions/sentences</w:t>
            </w:r>
          </w:p>
        </w:tc>
        <w:tc>
          <w:tcPr>
            <w:tcW w:w="1040" w:type="dxa"/>
            <w:tcBorders>
              <w:top w:val="nil"/>
              <w:left w:val="nil"/>
              <w:bottom w:val="nil"/>
              <w:right w:val="nil"/>
            </w:tcBorders>
            <w:shd w:val="clear" w:color="auto" w:fill="auto"/>
            <w:noWrap/>
            <w:vAlign w:val="bottom"/>
            <w:hideMark/>
          </w:tcPr>
          <w:p w14:paraId="79337278"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45BB6CFD"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42510871"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39BDAB6C"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w:t>
            </w:r>
          </w:p>
        </w:tc>
        <w:tc>
          <w:tcPr>
            <w:tcW w:w="1040" w:type="dxa"/>
            <w:tcBorders>
              <w:top w:val="nil"/>
              <w:left w:val="nil"/>
              <w:bottom w:val="nil"/>
              <w:right w:val="nil"/>
            </w:tcBorders>
            <w:shd w:val="clear" w:color="auto" w:fill="auto"/>
            <w:noWrap/>
            <w:vAlign w:val="bottom"/>
            <w:hideMark/>
          </w:tcPr>
          <w:p w14:paraId="3C6615F1"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Y</w:t>
            </w:r>
          </w:p>
        </w:tc>
        <w:tc>
          <w:tcPr>
            <w:tcW w:w="1040" w:type="dxa"/>
            <w:tcBorders>
              <w:top w:val="nil"/>
              <w:left w:val="nil"/>
              <w:bottom w:val="nil"/>
              <w:right w:val="nil"/>
            </w:tcBorders>
            <w:shd w:val="clear" w:color="auto" w:fill="auto"/>
            <w:noWrap/>
            <w:vAlign w:val="bottom"/>
            <w:hideMark/>
          </w:tcPr>
          <w:p w14:paraId="336491DF"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Y</w:t>
            </w:r>
          </w:p>
        </w:tc>
      </w:tr>
      <w:tr w:rsidR="00EE311F" w:rsidRPr="00D2057F" w14:paraId="6FA3B016" w14:textId="77777777" w:rsidTr="00515E57">
        <w:trPr>
          <w:trHeight w:val="290"/>
          <w:jc w:val="center"/>
        </w:trPr>
        <w:tc>
          <w:tcPr>
            <w:tcW w:w="1800" w:type="dxa"/>
            <w:tcBorders>
              <w:top w:val="nil"/>
              <w:left w:val="nil"/>
              <w:bottom w:val="single" w:sz="4" w:space="0" w:color="auto"/>
              <w:right w:val="nil"/>
            </w:tcBorders>
            <w:shd w:val="clear" w:color="auto" w:fill="auto"/>
            <w:noWrap/>
            <w:vAlign w:val="bottom"/>
            <w:hideMark/>
          </w:tcPr>
          <w:p w14:paraId="21000AE7" w14:textId="77777777" w:rsidR="00EE311F" w:rsidRPr="00D2057F" w:rsidRDefault="00EE311F" w:rsidP="00515E57">
            <w:pPr>
              <w:spacing w:after="0" w:line="240" w:lineRule="auto"/>
              <w:rPr>
                <w:rFonts w:ascii="Calibri" w:eastAsia="Times New Roman" w:hAnsi="Calibri" w:cs="Calibri"/>
                <w:color w:val="000000"/>
                <w:lang w:eastAsia="en-GB"/>
              </w:rPr>
            </w:pPr>
            <w:r w:rsidRPr="00D2057F">
              <w:rPr>
                <w:rFonts w:ascii="Calibri" w:eastAsia="Times New Roman" w:hAnsi="Calibri" w:cs="Calibri"/>
                <w:color w:val="000000"/>
                <w:lang w:eastAsia="en-GB"/>
              </w:rPr>
              <w:t>GCSE grades</w:t>
            </w:r>
          </w:p>
        </w:tc>
        <w:tc>
          <w:tcPr>
            <w:tcW w:w="1040" w:type="dxa"/>
            <w:tcBorders>
              <w:top w:val="nil"/>
              <w:left w:val="nil"/>
              <w:bottom w:val="single" w:sz="4" w:space="0" w:color="auto"/>
              <w:right w:val="nil"/>
            </w:tcBorders>
            <w:shd w:val="clear" w:color="auto" w:fill="auto"/>
            <w:noWrap/>
            <w:vAlign w:val="bottom"/>
            <w:hideMark/>
          </w:tcPr>
          <w:p w14:paraId="19AF13EA"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w:t>
            </w:r>
          </w:p>
        </w:tc>
        <w:tc>
          <w:tcPr>
            <w:tcW w:w="1040" w:type="dxa"/>
            <w:tcBorders>
              <w:top w:val="nil"/>
              <w:left w:val="nil"/>
              <w:bottom w:val="single" w:sz="4" w:space="0" w:color="auto"/>
              <w:right w:val="nil"/>
            </w:tcBorders>
            <w:shd w:val="clear" w:color="auto" w:fill="auto"/>
            <w:noWrap/>
            <w:vAlign w:val="bottom"/>
            <w:hideMark/>
          </w:tcPr>
          <w:p w14:paraId="6C9BC33C"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w:t>
            </w:r>
          </w:p>
        </w:tc>
        <w:tc>
          <w:tcPr>
            <w:tcW w:w="1040" w:type="dxa"/>
            <w:tcBorders>
              <w:top w:val="nil"/>
              <w:left w:val="nil"/>
              <w:bottom w:val="single" w:sz="4" w:space="0" w:color="auto"/>
              <w:right w:val="nil"/>
            </w:tcBorders>
            <w:shd w:val="clear" w:color="auto" w:fill="auto"/>
            <w:noWrap/>
            <w:vAlign w:val="bottom"/>
            <w:hideMark/>
          </w:tcPr>
          <w:p w14:paraId="2E9DBCB9"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w:t>
            </w:r>
          </w:p>
        </w:tc>
        <w:tc>
          <w:tcPr>
            <w:tcW w:w="1040" w:type="dxa"/>
            <w:tcBorders>
              <w:top w:val="nil"/>
              <w:left w:val="nil"/>
              <w:bottom w:val="single" w:sz="4" w:space="0" w:color="auto"/>
              <w:right w:val="nil"/>
            </w:tcBorders>
            <w:shd w:val="clear" w:color="auto" w:fill="auto"/>
            <w:noWrap/>
            <w:vAlign w:val="bottom"/>
            <w:hideMark/>
          </w:tcPr>
          <w:p w14:paraId="745DDCA5"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w:t>
            </w:r>
          </w:p>
        </w:tc>
        <w:tc>
          <w:tcPr>
            <w:tcW w:w="1040" w:type="dxa"/>
            <w:tcBorders>
              <w:top w:val="nil"/>
              <w:left w:val="nil"/>
              <w:bottom w:val="single" w:sz="4" w:space="0" w:color="auto"/>
              <w:right w:val="nil"/>
            </w:tcBorders>
            <w:shd w:val="clear" w:color="auto" w:fill="auto"/>
            <w:noWrap/>
            <w:vAlign w:val="bottom"/>
            <w:hideMark/>
          </w:tcPr>
          <w:p w14:paraId="4FE6A52B"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w:t>
            </w:r>
          </w:p>
        </w:tc>
        <w:tc>
          <w:tcPr>
            <w:tcW w:w="1040" w:type="dxa"/>
            <w:tcBorders>
              <w:top w:val="nil"/>
              <w:left w:val="nil"/>
              <w:bottom w:val="single" w:sz="4" w:space="0" w:color="auto"/>
              <w:right w:val="nil"/>
            </w:tcBorders>
            <w:shd w:val="clear" w:color="auto" w:fill="auto"/>
            <w:noWrap/>
            <w:vAlign w:val="bottom"/>
            <w:hideMark/>
          </w:tcPr>
          <w:p w14:paraId="5E5B4CF1" w14:textId="77777777" w:rsidR="00EE311F" w:rsidRPr="00D2057F" w:rsidRDefault="00EE311F" w:rsidP="00515E57">
            <w:pPr>
              <w:spacing w:after="0" w:line="240" w:lineRule="auto"/>
              <w:jc w:val="center"/>
              <w:rPr>
                <w:rFonts w:ascii="Calibri" w:eastAsia="Times New Roman" w:hAnsi="Calibri" w:cs="Calibri"/>
                <w:color w:val="000000"/>
                <w:lang w:eastAsia="en-GB"/>
              </w:rPr>
            </w:pPr>
            <w:r w:rsidRPr="00D2057F">
              <w:rPr>
                <w:rFonts w:ascii="Calibri" w:eastAsia="Times New Roman" w:hAnsi="Calibri" w:cs="Calibri"/>
                <w:color w:val="000000"/>
                <w:lang w:eastAsia="en-GB"/>
              </w:rPr>
              <w:t>Y</w:t>
            </w:r>
          </w:p>
        </w:tc>
      </w:tr>
    </w:tbl>
    <w:p w14:paraId="75A72377" w14:textId="77777777" w:rsidR="00EE311F" w:rsidRPr="009A4467" w:rsidRDefault="00EE311F" w:rsidP="00EE311F">
      <w:pPr>
        <w:jc w:val="both"/>
        <w:rPr>
          <w:b/>
          <w:bCs/>
          <w:sz w:val="20"/>
          <w:szCs w:val="20"/>
        </w:rPr>
      </w:pPr>
      <w:r w:rsidRPr="009A4467">
        <w:rPr>
          <w:b/>
          <w:bCs/>
          <w:sz w:val="20"/>
          <w:szCs w:val="20"/>
        </w:rPr>
        <w:t>Notes:</w:t>
      </w:r>
      <w:r w:rsidRPr="009A4467">
        <w:rPr>
          <w:sz w:val="20"/>
          <w:szCs w:val="20"/>
        </w:rPr>
        <w:t xml:space="preserve"> Figures refer to odds ratio in comparison to children from high-achieving, disadvantaged, white boys. SE refers to the standard error. * indicates odds ratio significantly different from one at the 5% level. See Appendix </w:t>
      </w:r>
      <w:r>
        <w:rPr>
          <w:sz w:val="20"/>
          <w:szCs w:val="20"/>
        </w:rPr>
        <w:t>C</w:t>
      </w:r>
      <w:r w:rsidRPr="009A4467">
        <w:rPr>
          <w:sz w:val="20"/>
          <w:szCs w:val="20"/>
        </w:rPr>
        <w:t xml:space="preserve"> for further detailed results.</w:t>
      </w:r>
    </w:p>
    <w:p w14:paraId="1D52AA49" w14:textId="03EED325" w:rsidR="00BA7CA4" w:rsidRDefault="00BA7CA4" w:rsidP="007A1F6D">
      <w:pPr>
        <w:spacing w:line="36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lastRenderedPageBreak/>
        <w:t xml:space="preserve">Together, the results presented in Table 3a </w:t>
      </w:r>
      <w:r w:rsidR="00E6204F">
        <w:rPr>
          <w:rStyle w:val="Hyperlink"/>
          <w:rFonts w:ascii="Times New Roman" w:hAnsi="Times New Roman" w:cs="Times New Roman"/>
          <w:color w:val="000000" w:themeColor="text1"/>
          <w:sz w:val="24"/>
          <w:szCs w:val="24"/>
          <w:u w:val="none"/>
        </w:rPr>
        <w:t>suggest that socio-economic differences in being cautioned/sentenced as an adult can – to some extent – be predicted by variation in their attendance, behaviour and achievement outcomes during their time at school. However, even after accounting for these factors, initially high-achieving young people from disadvantaged backgrounds are still much more likely to be cautioned or sentenced for a crime as an adult than more advantaged socio-economic groups.</w:t>
      </w:r>
    </w:p>
    <w:p w14:paraId="6CB90E1D" w14:textId="67950D47" w:rsidR="00E6204F" w:rsidRDefault="00E6204F" w:rsidP="007A1F6D">
      <w:pPr>
        <w:spacing w:line="36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Finally, Table 3 panel (b) focuses on differences amongst disadvantaged high achievers of different genders and ethnic</w:t>
      </w:r>
      <w:r w:rsidR="003E1446">
        <w:rPr>
          <w:rStyle w:val="Hyperlink"/>
          <w:rFonts w:ascii="Times New Roman" w:hAnsi="Times New Roman" w:cs="Times New Roman"/>
          <w:color w:val="000000" w:themeColor="text1"/>
          <w:sz w:val="24"/>
          <w:szCs w:val="24"/>
          <w:u w:val="none"/>
        </w:rPr>
        <w:t>ities</w:t>
      </w:r>
      <w:r>
        <w:rPr>
          <w:rStyle w:val="Hyperlink"/>
          <w:rFonts w:ascii="Times New Roman" w:hAnsi="Times New Roman" w:cs="Times New Roman"/>
          <w:color w:val="000000" w:themeColor="text1"/>
          <w:sz w:val="24"/>
          <w:szCs w:val="24"/>
          <w:u w:val="none"/>
        </w:rPr>
        <w:t xml:space="preserve">. </w:t>
      </w:r>
      <w:r w:rsidR="00AF01E5">
        <w:rPr>
          <w:rStyle w:val="Hyperlink"/>
          <w:rFonts w:ascii="Times New Roman" w:hAnsi="Times New Roman" w:cs="Times New Roman"/>
          <w:color w:val="000000" w:themeColor="text1"/>
          <w:sz w:val="24"/>
          <w:szCs w:val="24"/>
          <w:u w:val="none"/>
        </w:rPr>
        <w:t>There are four key findings to report.</w:t>
      </w:r>
    </w:p>
    <w:p w14:paraId="6085C32E" w14:textId="19C5FAC3" w:rsidR="00AF01E5" w:rsidRDefault="00AF01E5" w:rsidP="007A1F6D">
      <w:pPr>
        <w:spacing w:line="36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First, </w:t>
      </w:r>
      <w:r w:rsidR="001127C3">
        <w:rPr>
          <w:rStyle w:val="Hyperlink"/>
          <w:rFonts w:ascii="Times New Roman" w:hAnsi="Times New Roman" w:cs="Times New Roman"/>
          <w:color w:val="000000" w:themeColor="text1"/>
          <w:sz w:val="24"/>
          <w:szCs w:val="24"/>
          <w:u w:val="none"/>
        </w:rPr>
        <w:t>for White and Mixed-race girls the odds ratio in the unconditional model (M0) sits closer to zero than one; they are much less likely to be cautioned or sentenced as adults than equally high-achieving, equally disadvantaged White boys. There is little consistent change to the odds ratio across the various model specifications. This indicates that differences in attendance, behaviour, prior cautions/sentences and achievement at school are unrelated to the magnitude of this gap.</w:t>
      </w:r>
    </w:p>
    <w:p w14:paraId="1D790572" w14:textId="488C26C8" w:rsidR="001127C3" w:rsidRDefault="001127C3" w:rsidP="007A1F6D">
      <w:pPr>
        <w:spacing w:line="36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Second, </w:t>
      </w:r>
      <w:r w:rsidR="0072784F">
        <w:rPr>
          <w:rStyle w:val="Hyperlink"/>
          <w:rFonts w:ascii="Times New Roman" w:hAnsi="Times New Roman" w:cs="Times New Roman"/>
          <w:color w:val="000000" w:themeColor="text1"/>
          <w:sz w:val="24"/>
          <w:szCs w:val="24"/>
          <w:u w:val="none"/>
        </w:rPr>
        <w:t>the estimated odds ratio for Black and Asian girls in model M0 also falls well below one. It, however, moves closer towards parity as the controls are added. For instance, the odds ratio for Black girls moves up from 0.35 (M0) to 0.59 (M5), with the inclusion of prior achievement scores and cautions/sentences while at school being particularly important. Hence, while there is also a clear gap in being cautioned/sentenced as an adult between high-achieving disadvantaged White boys and equally able, disadvantaged Black/Asian girls, th</w:t>
      </w:r>
      <w:r w:rsidR="003E1446">
        <w:rPr>
          <w:rStyle w:val="Hyperlink"/>
          <w:rFonts w:ascii="Times New Roman" w:hAnsi="Times New Roman" w:cs="Times New Roman"/>
          <w:color w:val="000000" w:themeColor="text1"/>
          <w:sz w:val="24"/>
          <w:szCs w:val="24"/>
          <w:u w:val="none"/>
        </w:rPr>
        <w:t>i</w:t>
      </w:r>
      <w:r w:rsidR="0072784F">
        <w:rPr>
          <w:rStyle w:val="Hyperlink"/>
          <w:rFonts w:ascii="Times New Roman" w:hAnsi="Times New Roman" w:cs="Times New Roman"/>
          <w:color w:val="000000" w:themeColor="text1"/>
          <w:sz w:val="24"/>
          <w:szCs w:val="24"/>
          <w:u w:val="none"/>
        </w:rPr>
        <w:t>s to some extent reflects patterns in their behaviour and academic outcomes during their time at school.</w:t>
      </w:r>
    </w:p>
    <w:p w14:paraId="260229F9" w14:textId="2E09A5BC" w:rsidR="0072784F" w:rsidRDefault="0072784F" w:rsidP="007A1F6D">
      <w:pPr>
        <w:spacing w:line="36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Third, high</w:t>
      </w:r>
      <w:r w:rsidR="00BA2C52">
        <w:rPr>
          <w:rStyle w:val="Hyperlink"/>
          <w:rFonts w:ascii="Times New Roman" w:hAnsi="Times New Roman" w:cs="Times New Roman"/>
          <w:color w:val="000000" w:themeColor="text1"/>
          <w:sz w:val="24"/>
          <w:szCs w:val="24"/>
          <w:u w:val="none"/>
        </w:rPr>
        <w:t xml:space="preserve"> achieving disadvantaged Black boys are the only group where the estimated odds ratio is significantly above one in all model specifications. In other words, they are the only group more likely to be sentenced or cautioned as adults than high achieving, disadvantaged White boys. Moreover, the odds ratio tends to increase as we add controls capturing </w:t>
      </w:r>
      <w:r w:rsidR="002A096B">
        <w:rPr>
          <w:rStyle w:val="Hyperlink"/>
          <w:rFonts w:ascii="Times New Roman" w:hAnsi="Times New Roman" w:cs="Times New Roman"/>
          <w:color w:val="000000" w:themeColor="text1"/>
          <w:sz w:val="24"/>
          <w:szCs w:val="24"/>
          <w:u w:val="none"/>
        </w:rPr>
        <w:t xml:space="preserve">their </w:t>
      </w:r>
      <w:r w:rsidR="00BA2C52">
        <w:rPr>
          <w:rStyle w:val="Hyperlink"/>
          <w:rFonts w:ascii="Times New Roman" w:hAnsi="Times New Roman" w:cs="Times New Roman"/>
          <w:color w:val="000000" w:themeColor="text1"/>
          <w:sz w:val="24"/>
          <w:szCs w:val="24"/>
          <w:u w:val="none"/>
        </w:rPr>
        <w:t xml:space="preserve">various outcomes during </w:t>
      </w:r>
      <w:r w:rsidR="002A096B">
        <w:rPr>
          <w:rStyle w:val="Hyperlink"/>
          <w:rFonts w:ascii="Times New Roman" w:hAnsi="Times New Roman" w:cs="Times New Roman"/>
          <w:color w:val="000000" w:themeColor="text1"/>
          <w:sz w:val="24"/>
          <w:szCs w:val="24"/>
          <w:u w:val="none"/>
        </w:rPr>
        <w:t>secondary</w:t>
      </w:r>
      <w:r w:rsidR="00BA2C52">
        <w:rPr>
          <w:rStyle w:val="Hyperlink"/>
          <w:rFonts w:ascii="Times New Roman" w:hAnsi="Times New Roman" w:cs="Times New Roman"/>
          <w:color w:val="000000" w:themeColor="text1"/>
          <w:sz w:val="24"/>
          <w:szCs w:val="24"/>
          <w:u w:val="none"/>
        </w:rPr>
        <w:t xml:space="preserve"> school, rising from 1.33 in M0 to 1.70 in M5. This means that initially high achieving disadvantaged Black boys are 70% more likely to receive a criminal caution/sentence as a</w:t>
      </w:r>
      <w:r w:rsidR="00C4171B">
        <w:rPr>
          <w:rStyle w:val="Hyperlink"/>
          <w:rFonts w:ascii="Times New Roman" w:hAnsi="Times New Roman" w:cs="Times New Roman"/>
          <w:color w:val="000000" w:themeColor="text1"/>
          <w:sz w:val="24"/>
          <w:szCs w:val="24"/>
          <w:u w:val="none"/>
        </w:rPr>
        <w:t xml:space="preserve">n adult than high achieving disadvantaged White boys, even when they had the same level of absences and exclusions from school, prior occurrences of criminal caution/sentences and GCSE grades. </w:t>
      </w:r>
    </w:p>
    <w:p w14:paraId="23CF51C6" w14:textId="5A438FEC" w:rsidR="00A83D1D" w:rsidRPr="00126440" w:rsidRDefault="00C4171B" w:rsidP="00126440">
      <w:pPr>
        <w:spacing w:line="36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lastRenderedPageBreak/>
        <w:t xml:space="preserve">Finally, </w:t>
      </w:r>
      <w:r w:rsidR="00126440">
        <w:rPr>
          <w:rStyle w:val="Hyperlink"/>
          <w:rFonts w:ascii="Times New Roman" w:hAnsi="Times New Roman" w:cs="Times New Roman"/>
          <w:color w:val="000000" w:themeColor="text1"/>
          <w:sz w:val="24"/>
          <w:szCs w:val="24"/>
          <w:u w:val="none"/>
        </w:rPr>
        <w:t>in the unconditional model</w:t>
      </w:r>
      <w:r w:rsidR="008E5FA7">
        <w:rPr>
          <w:rStyle w:val="Hyperlink"/>
          <w:rFonts w:ascii="Times New Roman" w:hAnsi="Times New Roman" w:cs="Times New Roman"/>
          <w:color w:val="000000" w:themeColor="text1"/>
          <w:sz w:val="24"/>
          <w:szCs w:val="24"/>
          <w:u w:val="none"/>
        </w:rPr>
        <w:t>,</w:t>
      </w:r>
      <w:r w:rsidR="00126440">
        <w:rPr>
          <w:rStyle w:val="Hyperlink"/>
          <w:rFonts w:ascii="Times New Roman" w:hAnsi="Times New Roman" w:cs="Times New Roman"/>
          <w:color w:val="000000" w:themeColor="text1"/>
          <w:sz w:val="24"/>
          <w:szCs w:val="24"/>
          <w:u w:val="none"/>
        </w:rPr>
        <w:t xml:space="preserve"> Asian boys are slightly less likely to be cautioned or sentenced as adults than their White peers. However, this difference is quickly explained by differences in background characteristics, prior attainment and absences during secondary school (odds ratio ~ 1 in M2 and M3). Then, after accounting for differences in prior occurrences of criminal cautions/sentences and GCSE grades, the odds ratio is significantly above one, reaching 1.27. Thus, high achieving disadvantaged Asian boys are around 27% more likely to be cautioned or sentenced during early adulthood than equally able, equally disadvantaged White boys with similar attendance, exclusions, prior cautions/sentences and achievement during their time at secondary school.</w:t>
      </w:r>
    </w:p>
    <w:p w14:paraId="15132875" w14:textId="24966BF5" w:rsidR="00717DF5" w:rsidRPr="0081090C" w:rsidRDefault="00717DF5" w:rsidP="009260F5">
      <w:pPr>
        <w:pStyle w:val="ListParagraph"/>
        <w:numPr>
          <w:ilvl w:val="0"/>
          <w:numId w:val="1"/>
        </w:numPr>
        <w:spacing w:line="276" w:lineRule="auto"/>
        <w:jc w:val="both"/>
        <w:rPr>
          <w:rStyle w:val="Hyperlink"/>
          <w:rFonts w:ascii="Times New Roman" w:hAnsi="Times New Roman" w:cs="Times New Roman"/>
          <w:b/>
          <w:bCs/>
          <w:color w:val="000000" w:themeColor="text1"/>
          <w:sz w:val="24"/>
          <w:szCs w:val="24"/>
          <w:u w:val="none"/>
        </w:rPr>
      </w:pPr>
      <w:r w:rsidRPr="0081090C">
        <w:rPr>
          <w:rStyle w:val="Hyperlink"/>
          <w:rFonts w:ascii="Times New Roman" w:hAnsi="Times New Roman" w:cs="Times New Roman"/>
          <w:b/>
          <w:bCs/>
          <w:color w:val="000000" w:themeColor="text1"/>
          <w:sz w:val="24"/>
          <w:szCs w:val="24"/>
          <w:u w:val="none"/>
        </w:rPr>
        <w:t>Conclusions</w:t>
      </w:r>
    </w:p>
    <w:p w14:paraId="56B45829" w14:textId="6D73620F" w:rsidR="00A83D1D" w:rsidRDefault="00A83D1D" w:rsidP="00A83D1D">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High-achieving young people from disadvantaged backgrounds are a key group for enhancing social mobility. They have built solid foundations upon which one would hope they are able to build, though unfortunately many are unable to fulfil their early academic potential.</w:t>
      </w:r>
      <w:r w:rsidR="006D67BC">
        <w:rPr>
          <w:rFonts w:ascii="Times New Roman" w:hAnsi="Times New Roman" w:cs="Times New Roman"/>
          <w:sz w:val="24"/>
          <w:szCs w:val="24"/>
        </w:rPr>
        <w:t xml:space="preserve"> Most previous research on this group has focused on their future academic outcomes, such as achievement in national examinations and entry into university (</w:t>
      </w:r>
      <w:r w:rsidR="009F20A7">
        <w:rPr>
          <w:rFonts w:ascii="Times New Roman" w:hAnsi="Times New Roman" w:cs="Times New Roman"/>
          <w:sz w:val="24"/>
          <w:szCs w:val="24"/>
        </w:rPr>
        <w:t>e.g. Crawford et al., 2017</w:t>
      </w:r>
      <w:r w:rsidR="006D67BC">
        <w:rPr>
          <w:rFonts w:ascii="Times New Roman" w:hAnsi="Times New Roman" w:cs="Times New Roman"/>
          <w:sz w:val="24"/>
          <w:szCs w:val="24"/>
        </w:rPr>
        <w:t>). Fewer studies have</w:t>
      </w:r>
      <w:r w:rsidR="009F20A7">
        <w:rPr>
          <w:rFonts w:ascii="Times New Roman" w:hAnsi="Times New Roman" w:cs="Times New Roman"/>
          <w:sz w:val="24"/>
          <w:szCs w:val="24"/>
        </w:rPr>
        <w:t xml:space="preserve"> </w:t>
      </w:r>
      <w:r w:rsidR="006D67BC">
        <w:rPr>
          <w:rFonts w:ascii="Times New Roman" w:hAnsi="Times New Roman" w:cs="Times New Roman"/>
          <w:sz w:val="24"/>
          <w:szCs w:val="24"/>
        </w:rPr>
        <w:t xml:space="preserve">focused on broader outcomes, </w:t>
      </w:r>
      <w:r w:rsidR="009F20A7">
        <w:rPr>
          <w:rFonts w:ascii="Times New Roman" w:hAnsi="Times New Roman" w:cs="Times New Roman"/>
          <w:sz w:val="24"/>
          <w:szCs w:val="24"/>
        </w:rPr>
        <w:t>including</w:t>
      </w:r>
      <w:r w:rsidR="006D67BC">
        <w:rPr>
          <w:rFonts w:ascii="Times New Roman" w:hAnsi="Times New Roman" w:cs="Times New Roman"/>
          <w:sz w:val="24"/>
          <w:szCs w:val="24"/>
        </w:rPr>
        <w:t xml:space="preserve"> indicators of </w:t>
      </w:r>
      <w:r w:rsidR="009F20A7">
        <w:rPr>
          <w:rFonts w:ascii="Times New Roman" w:hAnsi="Times New Roman" w:cs="Times New Roman"/>
          <w:sz w:val="24"/>
          <w:szCs w:val="24"/>
        </w:rPr>
        <w:t>serious issues surrounding their</w:t>
      </w:r>
      <w:r w:rsidR="006D67BC">
        <w:rPr>
          <w:rFonts w:ascii="Times New Roman" w:hAnsi="Times New Roman" w:cs="Times New Roman"/>
          <w:sz w:val="24"/>
          <w:szCs w:val="24"/>
        </w:rPr>
        <w:t xml:space="preserve"> behaviour. This is despite the potential for issues such as attendance and exclusions from school – </w:t>
      </w:r>
      <w:r w:rsidR="009F20A7">
        <w:rPr>
          <w:rFonts w:ascii="Times New Roman" w:hAnsi="Times New Roman" w:cs="Times New Roman"/>
          <w:sz w:val="24"/>
          <w:szCs w:val="24"/>
        </w:rPr>
        <w:t>and</w:t>
      </w:r>
      <w:r w:rsidR="006D67BC">
        <w:rPr>
          <w:rFonts w:ascii="Times New Roman" w:hAnsi="Times New Roman" w:cs="Times New Roman"/>
          <w:sz w:val="24"/>
          <w:szCs w:val="24"/>
        </w:rPr>
        <w:t xml:space="preserve"> getting into trouble with the law – being potential drivers of why the academic potential of some high achieving disadvantaged young people goes unfulfilled. </w:t>
      </w:r>
    </w:p>
    <w:p w14:paraId="506AE019" w14:textId="3625059F" w:rsidR="006D67BC" w:rsidRDefault="006D67BC" w:rsidP="00A83D1D">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present paper has sought to contribute insight on such matters to the existing evidence base. Using administrative data covering three school cohorts in England, we have shown how socio-economic gaps in attendance and exclusions amongst previously high achieving pupils emerge during the early stages of secondary school before peaking around Year 10 (age 14/15). </w:t>
      </w:r>
      <w:r w:rsidR="00D308E8">
        <w:rPr>
          <w:rFonts w:ascii="Times New Roman" w:hAnsi="Times New Roman" w:cs="Times New Roman"/>
          <w:sz w:val="24"/>
          <w:szCs w:val="24"/>
        </w:rPr>
        <w:t xml:space="preserve">These differences are unlikely to be explained by Kelley’s paradox, with non-trivial variation in absences, exclusions and criminal cautions/sentences observed even when one assumes </w:t>
      </w:r>
      <w:r w:rsidR="009F20A7">
        <w:rPr>
          <w:rFonts w:ascii="Times New Roman" w:hAnsi="Times New Roman" w:cs="Times New Roman"/>
          <w:sz w:val="24"/>
          <w:szCs w:val="24"/>
        </w:rPr>
        <w:t>a reasonably high degree of measurement error is present in the</w:t>
      </w:r>
      <w:r w:rsidR="00D308E8">
        <w:rPr>
          <w:rFonts w:ascii="Times New Roman" w:hAnsi="Times New Roman" w:cs="Times New Roman"/>
          <w:sz w:val="24"/>
          <w:szCs w:val="24"/>
        </w:rPr>
        <w:t xml:space="preserve"> Key Stage 2 tests. There appears to be important intersectionality with gender and ethnicity, with increasing levels of secondary school absence being a particular problem amongst teenagers of White and Mixed ethnicity. Likewise, high rates of school exclusions and criminal </w:t>
      </w:r>
      <w:r w:rsidR="00767504">
        <w:rPr>
          <w:rFonts w:ascii="Times New Roman" w:hAnsi="Times New Roman" w:cs="Times New Roman"/>
          <w:sz w:val="24"/>
          <w:szCs w:val="24"/>
        </w:rPr>
        <w:t>caution</w:t>
      </w:r>
      <w:r w:rsidR="00A24EA4">
        <w:rPr>
          <w:rFonts w:ascii="Times New Roman" w:hAnsi="Times New Roman" w:cs="Times New Roman"/>
          <w:sz w:val="24"/>
          <w:szCs w:val="24"/>
        </w:rPr>
        <w:t>s</w:t>
      </w:r>
      <w:r w:rsidR="00767504">
        <w:rPr>
          <w:rFonts w:ascii="Times New Roman" w:hAnsi="Times New Roman" w:cs="Times New Roman"/>
          <w:sz w:val="24"/>
          <w:szCs w:val="24"/>
        </w:rPr>
        <w:t xml:space="preserve">/sentences while at school are observed for Black and Mixed-race boys. While this variation in attendance, exclusions and cautions/sentences during secondary school can partially explain socio-economic differences amongst initially high achieving pupils in their propensity to receive cautions/sentences as adults, </w:t>
      </w:r>
      <w:r w:rsidR="0019007B">
        <w:rPr>
          <w:rFonts w:ascii="Times New Roman" w:hAnsi="Times New Roman" w:cs="Times New Roman"/>
          <w:sz w:val="24"/>
          <w:szCs w:val="24"/>
        </w:rPr>
        <w:t>a substantial proportion of the gap</w:t>
      </w:r>
      <w:r w:rsidR="00A24EA4">
        <w:rPr>
          <w:rFonts w:ascii="Times New Roman" w:hAnsi="Times New Roman" w:cs="Times New Roman"/>
          <w:sz w:val="24"/>
          <w:szCs w:val="24"/>
        </w:rPr>
        <w:t xml:space="preserve"> also</w:t>
      </w:r>
      <w:r w:rsidR="0019007B">
        <w:rPr>
          <w:rFonts w:ascii="Times New Roman" w:hAnsi="Times New Roman" w:cs="Times New Roman"/>
          <w:sz w:val="24"/>
          <w:szCs w:val="24"/>
        </w:rPr>
        <w:t xml:space="preserve"> remains unexplained.</w:t>
      </w:r>
    </w:p>
    <w:p w14:paraId="34339BDA" w14:textId="14B985F3" w:rsidR="0019007B" w:rsidRDefault="0019007B" w:rsidP="00A83D1D">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These findings have </w:t>
      </w:r>
      <w:r w:rsidR="0046332C">
        <w:rPr>
          <w:rFonts w:ascii="Times New Roman" w:hAnsi="Times New Roman" w:cs="Times New Roman"/>
          <w:sz w:val="24"/>
          <w:szCs w:val="24"/>
        </w:rPr>
        <w:t>many</w:t>
      </w:r>
      <w:r>
        <w:rPr>
          <w:rFonts w:ascii="Times New Roman" w:hAnsi="Times New Roman" w:cs="Times New Roman"/>
          <w:sz w:val="24"/>
          <w:szCs w:val="24"/>
        </w:rPr>
        <w:t xml:space="preserve"> consistencies with results from previous studies comparing other outcomes across initially high achieving young people from advantaged and disadvantaged backgrounds. For instance, prior research has found a divergence in academic outcomes across early high achievers from different socio-economic groups between the ages of 11 and 14 (</w:t>
      </w:r>
      <w:r w:rsidR="0046332C">
        <w:rPr>
          <w:rFonts w:ascii="Times New Roman" w:hAnsi="Times New Roman" w:cs="Times New Roman"/>
          <w:sz w:val="24"/>
          <w:szCs w:val="24"/>
        </w:rPr>
        <w:t>Crawford et al., 2017; Jerrim &amp; Carvajal, 2024</w:t>
      </w:r>
      <w:r>
        <w:rPr>
          <w:rFonts w:ascii="Times New Roman" w:hAnsi="Times New Roman" w:cs="Times New Roman"/>
          <w:sz w:val="24"/>
          <w:szCs w:val="24"/>
        </w:rPr>
        <w:t>).</w:t>
      </w:r>
      <w:r w:rsidR="007E0A5F">
        <w:rPr>
          <w:rFonts w:ascii="Times New Roman" w:hAnsi="Times New Roman" w:cs="Times New Roman"/>
          <w:sz w:val="24"/>
          <w:szCs w:val="24"/>
        </w:rPr>
        <w:t xml:space="preserve"> This is consistent with when we find</w:t>
      </w:r>
      <w:r w:rsidR="0046332C">
        <w:rPr>
          <w:rFonts w:ascii="Times New Roman" w:hAnsi="Times New Roman" w:cs="Times New Roman"/>
          <w:sz w:val="24"/>
          <w:szCs w:val="24"/>
        </w:rPr>
        <w:t xml:space="preserve"> the gap</w:t>
      </w:r>
      <w:r w:rsidR="007E0A5F">
        <w:rPr>
          <w:rFonts w:ascii="Times New Roman" w:hAnsi="Times New Roman" w:cs="Times New Roman"/>
          <w:sz w:val="24"/>
          <w:szCs w:val="24"/>
        </w:rPr>
        <w:t xml:space="preserve"> in school absences and exclusions to </w:t>
      </w:r>
      <w:r w:rsidR="0046332C">
        <w:rPr>
          <w:rFonts w:ascii="Times New Roman" w:hAnsi="Times New Roman" w:cs="Times New Roman"/>
          <w:sz w:val="24"/>
          <w:szCs w:val="24"/>
        </w:rPr>
        <w:t>increase</w:t>
      </w:r>
      <w:r w:rsidR="007E0A5F">
        <w:rPr>
          <w:rFonts w:ascii="Times New Roman" w:hAnsi="Times New Roman" w:cs="Times New Roman"/>
          <w:sz w:val="24"/>
          <w:szCs w:val="24"/>
        </w:rPr>
        <w:t>.</w:t>
      </w:r>
      <w:r w:rsidR="00D4391A">
        <w:rPr>
          <w:rFonts w:ascii="Times New Roman" w:hAnsi="Times New Roman" w:cs="Times New Roman"/>
          <w:sz w:val="24"/>
          <w:szCs w:val="24"/>
        </w:rPr>
        <w:t xml:space="preserve"> Jerrim (2024) also find</w:t>
      </w:r>
      <w:r w:rsidR="0046332C">
        <w:rPr>
          <w:rFonts w:ascii="Times New Roman" w:hAnsi="Times New Roman" w:cs="Times New Roman"/>
          <w:sz w:val="24"/>
          <w:szCs w:val="24"/>
        </w:rPr>
        <w:t>s</w:t>
      </w:r>
      <w:r w:rsidR="00D4391A">
        <w:rPr>
          <w:rFonts w:ascii="Times New Roman" w:hAnsi="Times New Roman" w:cs="Times New Roman"/>
          <w:sz w:val="24"/>
          <w:szCs w:val="24"/>
        </w:rPr>
        <w:t xml:space="preserve"> this </w:t>
      </w:r>
      <w:r w:rsidR="0046332C">
        <w:rPr>
          <w:rFonts w:ascii="Times New Roman" w:hAnsi="Times New Roman" w:cs="Times New Roman"/>
          <w:sz w:val="24"/>
          <w:szCs w:val="24"/>
        </w:rPr>
        <w:t>to be</w:t>
      </w:r>
      <w:r w:rsidR="00D4391A">
        <w:rPr>
          <w:rFonts w:ascii="Times New Roman" w:hAnsi="Times New Roman" w:cs="Times New Roman"/>
          <w:sz w:val="24"/>
          <w:szCs w:val="24"/>
        </w:rPr>
        <w:t xml:space="preserve"> a period when risky health behaviours amongst high achieving disadvantaged pupils start to emerge, </w:t>
      </w:r>
      <w:r w:rsidR="00A90CFB">
        <w:rPr>
          <w:rFonts w:ascii="Times New Roman" w:hAnsi="Times New Roman" w:cs="Times New Roman"/>
          <w:sz w:val="24"/>
          <w:szCs w:val="24"/>
        </w:rPr>
        <w:t xml:space="preserve">including hospital admissions due to alcohol/drug abuse and self-harm. Our findings also serve to strengthen the only prior analysis we are aware of to consider criminal outcomes </w:t>
      </w:r>
      <w:r w:rsidR="0046332C">
        <w:rPr>
          <w:rFonts w:ascii="Times New Roman" w:hAnsi="Times New Roman" w:cs="Times New Roman"/>
          <w:sz w:val="24"/>
          <w:szCs w:val="24"/>
        </w:rPr>
        <w:t>amongst initially high achieving disadvantaged pupils</w:t>
      </w:r>
      <w:r w:rsidR="00A90CFB">
        <w:rPr>
          <w:rFonts w:ascii="Times New Roman" w:hAnsi="Times New Roman" w:cs="Times New Roman"/>
          <w:sz w:val="24"/>
          <w:szCs w:val="24"/>
        </w:rPr>
        <w:t xml:space="preserve"> (Jerrim &amp; </w:t>
      </w:r>
      <w:r w:rsidR="00A90CFB" w:rsidRPr="0081090C">
        <w:rPr>
          <w:rFonts w:ascii="Times New Roman" w:hAnsi="Times New Roman" w:cs="Times New Roman"/>
          <w:sz w:val="24"/>
          <w:szCs w:val="24"/>
        </w:rPr>
        <w:t>Carvajal</w:t>
      </w:r>
      <w:r w:rsidR="00A90CFB">
        <w:rPr>
          <w:rFonts w:ascii="Times New Roman" w:hAnsi="Times New Roman" w:cs="Times New Roman"/>
          <w:sz w:val="24"/>
          <w:szCs w:val="24"/>
        </w:rPr>
        <w:t>, 2024), which was based on relatively small scale, self-reported data. In particular, we have been able to demonstrate how important differences exist across initially high achieving disadvantaged young people of different genders and ethnicities, with cautions/sentences being particularly elevated for initially high achieving disadvantaged Black and Mixed race boys. This, in-turn, has helped to build</w:t>
      </w:r>
      <w:r w:rsidR="003B7425">
        <w:rPr>
          <w:rFonts w:ascii="Times New Roman" w:hAnsi="Times New Roman" w:cs="Times New Roman"/>
          <w:sz w:val="24"/>
          <w:szCs w:val="24"/>
        </w:rPr>
        <w:t xml:space="preserve"> understanding of the important intersectionality that exist</w:t>
      </w:r>
      <w:r w:rsidR="00DF47D1">
        <w:rPr>
          <w:rFonts w:ascii="Times New Roman" w:hAnsi="Times New Roman" w:cs="Times New Roman"/>
          <w:sz w:val="24"/>
          <w:szCs w:val="24"/>
        </w:rPr>
        <w:t>s</w:t>
      </w:r>
      <w:r w:rsidR="003B7425">
        <w:rPr>
          <w:rFonts w:ascii="Times New Roman" w:hAnsi="Times New Roman" w:cs="Times New Roman"/>
          <w:sz w:val="24"/>
          <w:szCs w:val="24"/>
        </w:rPr>
        <w:t xml:space="preserve"> when considering the outcomes of young people with high levels of prior achievement.</w:t>
      </w:r>
    </w:p>
    <w:p w14:paraId="17101FCF" w14:textId="6A5E8090" w:rsidR="003B7425" w:rsidRDefault="003B7425" w:rsidP="00A83D1D">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There are, however, some limitations to our work</w:t>
      </w:r>
      <w:r w:rsidR="0046332C">
        <w:rPr>
          <w:rFonts w:ascii="Times New Roman" w:hAnsi="Times New Roman" w:cs="Times New Roman"/>
          <w:sz w:val="24"/>
          <w:szCs w:val="24"/>
        </w:rPr>
        <w:t xml:space="preserve"> which we now note</w:t>
      </w:r>
      <w:r>
        <w:rPr>
          <w:rFonts w:ascii="Times New Roman" w:hAnsi="Times New Roman" w:cs="Times New Roman"/>
          <w:sz w:val="24"/>
          <w:szCs w:val="24"/>
        </w:rPr>
        <w:t>. First, our measure of crime is based on cautions/sentences, and thus represent</w:t>
      </w:r>
      <w:r w:rsidR="0046332C">
        <w:rPr>
          <w:rFonts w:ascii="Times New Roman" w:hAnsi="Times New Roman" w:cs="Times New Roman"/>
          <w:sz w:val="24"/>
          <w:szCs w:val="24"/>
        </w:rPr>
        <w:t>s</w:t>
      </w:r>
      <w:r>
        <w:rPr>
          <w:rFonts w:ascii="Times New Roman" w:hAnsi="Times New Roman" w:cs="Times New Roman"/>
          <w:sz w:val="24"/>
          <w:szCs w:val="24"/>
        </w:rPr>
        <w:t xml:space="preserve"> quite an extreme outcome. It will no</w:t>
      </w:r>
      <w:r w:rsidR="0046332C">
        <w:rPr>
          <w:rFonts w:ascii="Times New Roman" w:hAnsi="Times New Roman" w:cs="Times New Roman"/>
          <w:sz w:val="24"/>
          <w:szCs w:val="24"/>
        </w:rPr>
        <w:t>t</w:t>
      </w:r>
      <w:r>
        <w:rPr>
          <w:rFonts w:ascii="Times New Roman" w:hAnsi="Times New Roman" w:cs="Times New Roman"/>
          <w:sz w:val="24"/>
          <w:szCs w:val="24"/>
        </w:rPr>
        <w:t xml:space="preserve"> capture all criminal activity, such as those not caught or reported, nor where no further action was taken. Second, despite pooling data across three school cohorts, sample sizes in parts of our analysis (e.g. cautions/sentences occurring at specific ages for </w:t>
      </w:r>
      <w:r w:rsidR="0046332C">
        <w:rPr>
          <w:rFonts w:ascii="Times New Roman" w:hAnsi="Times New Roman" w:cs="Times New Roman"/>
          <w:sz w:val="24"/>
          <w:szCs w:val="24"/>
        </w:rPr>
        <w:t>some</w:t>
      </w:r>
      <w:r>
        <w:rPr>
          <w:rFonts w:ascii="Times New Roman" w:hAnsi="Times New Roman" w:cs="Times New Roman"/>
          <w:sz w:val="24"/>
          <w:szCs w:val="24"/>
        </w:rPr>
        <w:t xml:space="preserve"> gender and ethnic sub-groups) becomes relatively small. Third, our measure of disadvantage is based on the proxy measures available within England’s administrative data. While these measures are likely to pick up the most disadvantaged pupils relatively well via the inclusion of Free School Meals indicators across numerous years</w:t>
      </w:r>
      <w:r w:rsidR="004763C4">
        <w:rPr>
          <w:rFonts w:ascii="Times New Roman" w:hAnsi="Times New Roman" w:cs="Times New Roman"/>
          <w:sz w:val="24"/>
          <w:szCs w:val="24"/>
        </w:rPr>
        <w:t>, it may only capture those fr</w:t>
      </w:r>
      <w:r w:rsidR="004763C4" w:rsidRPr="0046332C">
        <w:rPr>
          <w:rFonts w:ascii="Times New Roman" w:hAnsi="Times New Roman" w:cs="Times New Roman"/>
          <w:sz w:val="24"/>
          <w:szCs w:val="24"/>
        </w:rPr>
        <w:t>om the most socio-economically advantaged homes</w:t>
      </w:r>
      <w:r w:rsidR="0046332C" w:rsidRPr="0046332C">
        <w:rPr>
          <w:rFonts w:ascii="Times New Roman" w:hAnsi="Times New Roman" w:cs="Times New Roman"/>
          <w:sz w:val="24"/>
          <w:szCs w:val="24"/>
        </w:rPr>
        <w:t xml:space="preserve"> with a degree of error (Jerrim, 2023</w:t>
      </w:r>
      <w:r w:rsidR="0046332C">
        <w:rPr>
          <w:rFonts w:ascii="Times New Roman" w:hAnsi="Times New Roman" w:cs="Times New Roman"/>
          <w:sz w:val="24"/>
          <w:szCs w:val="24"/>
        </w:rPr>
        <w:t>)</w:t>
      </w:r>
      <w:r w:rsidR="004763C4">
        <w:rPr>
          <w:rFonts w:ascii="Times New Roman" w:hAnsi="Times New Roman" w:cs="Times New Roman"/>
          <w:sz w:val="24"/>
          <w:szCs w:val="24"/>
        </w:rPr>
        <w:t xml:space="preserve">. Fourth, relatedly, England’s administrative data – and the Key Stage 2 </w:t>
      </w:r>
      <w:r w:rsidR="0046332C">
        <w:rPr>
          <w:rFonts w:ascii="Times New Roman" w:hAnsi="Times New Roman" w:cs="Times New Roman"/>
          <w:sz w:val="24"/>
          <w:szCs w:val="24"/>
        </w:rPr>
        <w:t>tests</w:t>
      </w:r>
      <w:r w:rsidR="004763C4">
        <w:rPr>
          <w:rFonts w:ascii="Times New Roman" w:hAnsi="Times New Roman" w:cs="Times New Roman"/>
          <w:sz w:val="24"/>
          <w:szCs w:val="24"/>
        </w:rPr>
        <w:t xml:space="preserve"> we use to define high achieving </w:t>
      </w:r>
      <w:r w:rsidR="0046332C">
        <w:rPr>
          <w:rFonts w:ascii="Times New Roman" w:hAnsi="Times New Roman" w:cs="Times New Roman"/>
          <w:sz w:val="24"/>
          <w:szCs w:val="24"/>
        </w:rPr>
        <w:t>pupils</w:t>
      </w:r>
      <w:r w:rsidR="004763C4">
        <w:rPr>
          <w:rFonts w:ascii="Times New Roman" w:hAnsi="Times New Roman" w:cs="Times New Roman"/>
          <w:sz w:val="24"/>
          <w:szCs w:val="24"/>
        </w:rPr>
        <w:t xml:space="preserve"> – mainly captures </w:t>
      </w:r>
      <w:r w:rsidR="0046332C">
        <w:rPr>
          <w:rFonts w:ascii="Times New Roman" w:hAnsi="Times New Roman" w:cs="Times New Roman"/>
          <w:sz w:val="24"/>
          <w:szCs w:val="24"/>
        </w:rPr>
        <w:t>those</w:t>
      </w:r>
      <w:r w:rsidR="004763C4">
        <w:rPr>
          <w:rFonts w:ascii="Times New Roman" w:hAnsi="Times New Roman" w:cs="Times New Roman"/>
          <w:sz w:val="24"/>
          <w:szCs w:val="24"/>
        </w:rPr>
        <w:t xml:space="preserve"> studying in state schools. </w:t>
      </w:r>
      <w:r w:rsidR="00CC567B">
        <w:rPr>
          <w:rFonts w:ascii="Times New Roman" w:hAnsi="Times New Roman" w:cs="Times New Roman"/>
          <w:sz w:val="24"/>
          <w:szCs w:val="24"/>
        </w:rPr>
        <w:t>Many of the roughly 7% of independent school pupils – who disproportionately come from more affluent families – are excluded from our analysis. Finally, all estimates presented throughout the paper are correlational, and do not attempt to capture cause and effect.</w:t>
      </w:r>
    </w:p>
    <w:p w14:paraId="5A67C608" w14:textId="3406F7F4" w:rsidR="008534B8" w:rsidRDefault="00CC567B" w:rsidP="00A83D1D">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What, then, are the implications of our findings for policy? </w:t>
      </w:r>
      <w:r w:rsidR="008534B8" w:rsidRPr="008534B8">
        <w:rPr>
          <w:rFonts w:ascii="Times New Roman" w:hAnsi="Times New Roman" w:cs="Times New Roman"/>
          <w:color w:val="000000" w:themeColor="text1"/>
          <w:sz w:val="24"/>
          <w:szCs w:val="24"/>
        </w:rPr>
        <w:t>T</w:t>
      </w:r>
      <w:r w:rsidR="008534B8" w:rsidRPr="00E90AC8">
        <w:rPr>
          <w:rFonts w:ascii="Times New Roman" w:hAnsi="Times New Roman" w:cs="Times New Roman"/>
          <w:color w:val="000000" w:themeColor="text1"/>
          <w:sz w:val="24"/>
          <w:szCs w:val="24"/>
        </w:rPr>
        <w:t>he emergence of socio-economic gaps in attendance and exclusions</w:t>
      </w:r>
      <w:r w:rsidR="008534B8" w:rsidRPr="008534B8">
        <w:rPr>
          <w:rFonts w:ascii="Times New Roman" w:hAnsi="Times New Roman" w:cs="Times New Roman"/>
          <w:color w:val="000000" w:themeColor="text1"/>
          <w:sz w:val="24"/>
          <w:szCs w:val="24"/>
        </w:rPr>
        <w:t xml:space="preserve"> amongst high-achieving pupils</w:t>
      </w:r>
      <w:r w:rsidR="008534B8" w:rsidRPr="00E90AC8">
        <w:rPr>
          <w:rFonts w:ascii="Times New Roman" w:hAnsi="Times New Roman" w:cs="Times New Roman"/>
          <w:color w:val="000000" w:themeColor="text1"/>
          <w:sz w:val="24"/>
          <w:szCs w:val="24"/>
        </w:rPr>
        <w:t xml:space="preserve"> during early secondary </w:t>
      </w:r>
      <w:r w:rsidR="008534B8" w:rsidRPr="00E90AC8">
        <w:rPr>
          <w:rFonts w:ascii="Times New Roman" w:hAnsi="Times New Roman" w:cs="Times New Roman"/>
          <w:color w:val="000000" w:themeColor="text1"/>
          <w:sz w:val="24"/>
          <w:szCs w:val="24"/>
        </w:rPr>
        <w:lastRenderedPageBreak/>
        <w:t xml:space="preserve">school </w:t>
      </w:r>
      <w:r w:rsidR="008534B8" w:rsidRPr="008534B8">
        <w:rPr>
          <w:rFonts w:ascii="Times New Roman" w:hAnsi="Times New Roman" w:cs="Times New Roman"/>
          <w:color w:val="000000" w:themeColor="text1"/>
          <w:sz w:val="24"/>
          <w:szCs w:val="24"/>
        </w:rPr>
        <w:t>highlights</w:t>
      </w:r>
      <w:r w:rsidR="008534B8" w:rsidRPr="00E90AC8">
        <w:rPr>
          <w:rFonts w:ascii="Times New Roman" w:hAnsi="Times New Roman" w:cs="Times New Roman"/>
          <w:color w:val="000000" w:themeColor="text1"/>
          <w:sz w:val="24"/>
          <w:szCs w:val="24"/>
        </w:rPr>
        <w:t xml:space="preserve"> the need for targeted interventions</w:t>
      </w:r>
      <w:r w:rsidR="008534B8" w:rsidRPr="008534B8">
        <w:rPr>
          <w:rFonts w:ascii="Times New Roman" w:hAnsi="Times New Roman" w:cs="Times New Roman"/>
          <w:color w:val="000000" w:themeColor="text1"/>
          <w:sz w:val="24"/>
          <w:szCs w:val="24"/>
        </w:rPr>
        <w:t xml:space="preserve"> and initiatives</w:t>
      </w:r>
      <w:r w:rsidR="008534B8" w:rsidRPr="00E90AC8">
        <w:rPr>
          <w:rFonts w:ascii="Times New Roman" w:hAnsi="Times New Roman" w:cs="Times New Roman"/>
          <w:color w:val="000000" w:themeColor="text1"/>
          <w:sz w:val="24"/>
          <w:szCs w:val="24"/>
        </w:rPr>
        <w:t xml:space="preserve"> at this </w:t>
      </w:r>
      <w:r w:rsidR="008534B8" w:rsidRPr="008534B8">
        <w:rPr>
          <w:rFonts w:ascii="Times New Roman" w:hAnsi="Times New Roman" w:cs="Times New Roman"/>
          <w:color w:val="000000" w:themeColor="text1"/>
          <w:sz w:val="24"/>
          <w:szCs w:val="24"/>
        </w:rPr>
        <w:t>point in young people’s lives</w:t>
      </w:r>
      <w:r w:rsidR="008534B8" w:rsidRPr="00E90AC8">
        <w:rPr>
          <w:rFonts w:ascii="Times New Roman" w:hAnsi="Times New Roman" w:cs="Times New Roman"/>
          <w:color w:val="000000" w:themeColor="text1"/>
          <w:sz w:val="24"/>
          <w:szCs w:val="24"/>
        </w:rPr>
        <w:t xml:space="preserve">. </w:t>
      </w:r>
      <w:r w:rsidR="008534B8" w:rsidRPr="008534B8">
        <w:rPr>
          <w:rFonts w:ascii="Times New Roman" w:hAnsi="Times New Roman" w:cs="Times New Roman"/>
          <w:color w:val="000000" w:themeColor="text1"/>
          <w:sz w:val="24"/>
          <w:szCs w:val="24"/>
        </w:rPr>
        <w:t>These might focus on maintaining their</w:t>
      </w:r>
      <w:r w:rsidR="008534B8" w:rsidRPr="00E90AC8">
        <w:rPr>
          <w:rFonts w:ascii="Times New Roman" w:hAnsi="Times New Roman" w:cs="Times New Roman"/>
          <w:color w:val="000000" w:themeColor="text1"/>
          <w:sz w:val="24"/>
          <w:szCs w:val="24"/>
        </w:rPr>
        <w:t xml:space="preserve"> engagement</w:t>
      </w:r>
      <w:r w:rsidR="008534B8" w:rsidRPr="008534B8">
        <w:rPr>
          <w:rFonts w:ascii="Times New Roman" w:hAnsi="Times New Roman" w:cs="Times New Roman"/>
          <w:color w:val="000000" w:themeColor="text1"/>
          <w:sz w:val="24"/>
          <w:szCs w:val="24"/>
        </w:rPr>
        <w:t xml:space="preserve"> and behaviour at school</w:t>
      </w:r>
      <w:r w:rsidR="008534B8" w:rsidRPr="00E90AC8">
        <w:rPr>
          <w:rFonts w:ascii="Times New Roman" w:hAnsi="Times New Roman" w:cs="Times New Roman"/>
          <w:color w:val="000000" w:themeColor="text1"/>
          <w:sz w:val="24"/>
          <w:szCs w:val="24"/>
        </w:rPr>
        <w:t xml:space="preserve"> </w:t>
      </w:r>
      <w:r w:rsidR="008534B8" w:rsidRPr="008534B8">
        <w:rPr>
          <w:rFonts w:ascii="Times New Roman" w:hAnsi="Times New Roman" w:cs="Times New Roman"/>
          <w:color w:val="000000" w:themeColor="text1"/>
          <w:sz w:val="24"/>
          <w:szCs w:val="24"/>
        </w:rPr>
        <w:t>to ensure they do not lose focus, fall into trouble and maximise their early academic potential</w:t>
      </w:r>
      <w:r w:rsidR="008534B8" w:rsidRPr="00E90AC8">
        <w:rPr>
          <w:rFonts w:ascii="Times New Roman" w:hAnsi="Times New Roman" w:cs="Times New Roman"/>
          <w:color w:val="000000" w:themeColor="text1"/>
          <w:sz w:val="24"/>
          <w:szCs w:val="24"/>
        </w:rPr>
        <w:t xml:space="preserve">. </w:t>
      </w:r>
      <w:r w:rsidR="008534B8" w:rsidRPr="008534B8">
        <w:rPr>
          <w:rFonts w:ascii="Times New Roman" w:hAnsi="Times New Roman" w:cs="Times New Roman"/>
          <w:color w:val="000000" w:themeColor="text1"/>
          <w:sz w:val="24"/>
          <w:szCs w:val="24"/>
        </w:rPr>
        <w:t>T</w:t>
      </w:r>
      <w:r w:rsidR="008534B8" w:rsidRPr="00E90AC8">
        <w:rPr>
          <w:rFonts w:ascii="Times New Roman" w:hAnsi="Times New Roman" w:cs="Times New Roman"/>
          <w:color w:val="000000" w:themeColor="text1"/>
          <w:sz w:val="24"/>
          <w:szCs w:val="24"/>
        </w:rPr>
        <w:t>he intersectionality with gender and ethnicity</w:t>
      </w:r>
      <w:r w:rsidR="008534B8" w:rsidRPr="008534B8">
        <w:rPr>
          <w:rFonts w:ascii="Times New Roman" w:hAnsi="Times New Roman" w:cs="Times New Roman"/>
          <w:color w:val="000000" w:themeColor="text1"/>
          <w:sz w:val="24"/>
          <w:szCs w:val="24"/>
        </w:rPr>
        <w:t xml:space="preserve"> also</w:t>
      </w:r>
      <w:r w:rsidR="008534B8" w:rsidRPr="00E90AC8">
        <w:rPr>
          <w:rFonts w:ascii="Times New Roman" w:hAnsi="Times New Roman" w:cs="Times New Roman"/>
          <w:color w:val="000000" w:themeColor="text1"/>
          <w:sz w:val="24"/>
          <w:szCs w:val="24"/>
        </w:rPr>
        <w:t xml:space="preserve"> indicates that </w:t>
      </w:r>
      <w:r w:rsidR="008534B8" w:rsidRPr="008534B8">
        <w:rPr>
          <w:rFonts w:ascii="Times New Roman" w:hAnsi="Times New Roman" w:cs="Times New Roman"/>
          <w:color w:val="000000" w:themeColor="text1"/>
          <w:sz w:val="24"/>
          <w:szCs w:val="24"/>
        </w:rPr>
        <w:t xml:space="preserve">interventions and </w:t>
      </w:r>
      <w:r w:rsidR="008534B8" w:rsidRPr="00E90AC8">
        <w:rPr>
          <w:rFonts w:ascii="Times New Roman" w:hAnsi="Times New Roman" w:cs="Times New Roman"/>
          <w:color w:val="000000" w:themeColor="text1"/>
          <w:sz w:val="24"/>
          <w:szCs w:val="24"/>
        </w:rPr>
        <w:t xml:space="preserve">policies must be tailored to address the specific needs of different demographic groups. For instance, strategies to reduce school absences should particularly consider the challenges faced by teenagers of White and Mixed ethnicity, while efforts to decrease exclusions and criminal cautions should focus on Black and Mixed-race boys. Additionally, the unexplained </w:t>
      </w:r>
      <w:r w:rsidR="008534B8" w:rsidRPr="008534B8">
        <w:rPr>
          <w:rFonts w:ascii="Times New Roman" w:hAnsi="Times New Roman" w:cs="Times New Roman"/>
          <w:color w:val="000000" w:themeColor="text1"/>
          <w:sz w:val="24"/>
          <w:szCs w:val="24"/>
        </w:rPr>
        <w:t xml:space="preserve">part of the </w:t>
      </w:r>
      <w:r w:rsidR="008534B8" w:rsidRPr="00E90AC8">
        <w:rPr>
          <w:rFonts w:ascii="Times New Roman" w:hAnsi="Times New Roman" w:cs="Times New Roman"/>
          <w:color w:val="000000" w:themeColor="text1"/>
          <w:sz w:val="24"/>
          <w:szCs w:val="24"/>
        </w:rPr>
        <w:t>socio-economic gap in adult cautions/sentences points to</w:t>
      </w:r>
      <w:r w:rsidR="008534B8" w:rsidRPr="008534B8">
        <w:rPr>
          <w:rFonts w:ascii="Times New Roman" w:hAnsi="Times New Roman" w:cs="Times New Roman"/>
          <w:color w:val="000000" w:themeColor="text1"/>
          <w:sz w:val="24"/>
          <w:szCs w:val="24"/>
        </w:rPr>
        <w:t>wards a need to</w:t>
      </w:r>
      <w:r w:rsidR="008534B8" w:rsidRPr="00E90AC8">
        <w:rPr>
          <w:rFonts w:ascii="Times New Roman" w:hAnsi="Times New Roman" w:cs="Times New Roman"/>
          <w:color w:val="000000" w:themeColor="text1"/>
          <w:sz w:val="24"/>
          <w:szCs w:val="24"/>
        </w:rPr>
        <w:t xml:space="preserve"> go beyond school-based interventions, potentially involving community and family support </w:t>
      </w:r>
      <w:r w:rsidR="008534B8" w:rsidRPr="008534B8">
        <w:rPr>
          <w:rFonts w:ascii="Times New Roman" w:hAnsi="Times New Roman" w:cs="Times New Roman"/>
          <w:color w:val="000000" w:themeColor="text1"/>
          <w:sz w:val="24"/>
          <w:szCs w:val="24"/>
        </w:rPr>
        <w:t>services</w:t>
      </w:r>
      <w:r w:rsidR="008534B8" w:rsidRPr="00E90AC8">
        <w:rPr>
          <w:rFonts w:ascii="Times New Roman" w:hAnsi="Times New Roman" w:cs="Times New Roman"/>
          <w:color w:val="000000" w:themeColor="text1"/>
          <w:sz w:val="24"/>
          <w:szCs w:val="24"/>
        </w:rPr>
        <w:t xml:space="preserve">. </w:t>
      </w:r>
      <w:r w:rsidR="008534B8" w:rsidRPr="008534B8">
        <w:rPr>
          <w:rFonts w:ascii="Times New Roman" w:hAnsi="Times New Roman" w:cs="Times New Roman"/>
          <w:color w:val="000000" w:themeColor="text1"/>
          <w:sz w:val="24"/>
          <w:szCs w:val="24"/>
        </w:rPr>
        <w:t xml:space="preserve">It is </w:t>
      </w:r>
      <w:r w:rsidR="00494E23">
        <w:rPr>
          <w:rFonts w:ascii="Times New Roman" w:hAnsi="Times New Roman" w:cs="Times New Roman"/>
          <w:color w:val="000000" w:themeColor="text1"/>
          <w:sz w:val="24"/>
          <w:szCs w:val="24"/>
        </w:rPr>
        <w:t>thus</w:t>
      </w:r>
      <w:r w:rsidR="008534B8" w:rsidRPr="008534B8">
        <w:rPr>
          <w:rFonts w:ascii="Times New Roman" w:hAnsi="Times New Roman" w:cs="Times New Roman"/>
          <w:color w:val="000000" w:themeColor="text1"/>
          <w:sz w:val="24"/>
          <w:szCs w:val="24"/>
        </w:rPr>
        <w:t xml:space="preserve"> likely that a mix of </w:t>
      </w:r>
      <w:r w:rsidR="008534B8" w:rsidRPr="00E90AC8">
        <w:rPr>
          <w:rFonts w:ascii="Times New Roman" w:hAnsi="Times New Roman" w:cs="Times New Roman"/>
          <w:color w:val="000000" w:themeColor="text1"/>
          <w:sz w:val="24"/>
          <w:szCs w:val="24"/>
        </w:rPr>
        <w:t>early, targeted, and intersectional</w:t>
      </w:r>
      <w:r w:rsidR="008534B8" w:rsidRPr="008534B8">
        <w:rPr>
          <w:rFonts w:ascii="Times New Roman" w:hAnsi="Times New Roman" w:cs="Times New Roman"/>
          <w:color w:val="000000" w:themeColor="text1"/>
          <w:sz w:val="24"/>
          <w:szCs w:val="24"/>
        </w:rPr>
        <w:t xml:space="preserve"> initiatives are</w:t>
      </w:r>
      <w:r w:rsidR="00DF47D1">
        <w:rPr>
          <w:rFonts w:ascii="Times New Roman" w:hAnsi="Times New Roman" w:cs="Times New Roman"/>
          <w:color w:val="000000" w:themeColor="text1"/>
          <w:sz w:val="24"/>
          <w:szCs w:val="24"/>
        </w:rPr>
        <w:t xml:space="preserve"> </w:t>
      </w:r>
      <w:r w:rsidR="008534B8" w:rsidRPr="008534B8">
        <w:rPr>
          <w:rFonts w:ascii="Times New Roman" w:hAnsi="Times New Roman" w:cs="Times New Roman"/>
          <w:color w:val="000000" w:themeColor="text1"/>
          <w:sz w:val="24"/>
          <w:szCs w:val="24"/>
        </w:rPr>
        <w:t>needed</w:t>
      </w:r>
      <w:r w:rsidR="008534B8" w:rsidRPr="00E90AC8">
        <w:rPr>
          <w:rFonts w:ascii="Times New Roman" w:hAnsi="Times New Roman" w:cs="Times New Roman"/>
          <w:color w:val="000000" w:themeColor="text1"/>
          <w:sz w:val="24"/>
          <w:szCs w:val="24"/>
        </w:rPr>
        <w:t xml:space="preserve"> to </w:t>
      </w:r>
      <w:r w:rsidR="008534B8" w:rsidRPr="008534B8">
        <w:rPr>
          <w:rFonts w:ascii="Times New Roman" w:hAnsi="Times New Roman" w:cs="Times New Roman"/>
          <w:color w:val="000000" w:themeColor="text1"/>
          <w:sz w:val="24"/>
          <w:szCs w:val="24"/>
        </w:rPr>
        <w:t>ensure high-achieving pupils from disadvantaged backgrounds do not start falling into trouble at school and with the law</w:t>
      </w:r>
      <w:r w:rsidR="00494E23">
        <w:rPr>
          <w:rFonts w:ascii="Times New Roman" w:hAnsi="Times New Roman" w:cs="Times New Roman"/>
          <w:color w:val="000000" w:themeColor="text1"/>
          <w:sz w:val="24"/>
          <w:szCs w:val="24"/>
        </w:rPr>
        <w:t xml:space="preserve"> during secondary school.</w:t>
      </w:r>
      <w:r w:rsidR="008534B8" w:rsidRPr="008534B8">
        <w:rPr>
          <w:rFonts w:ascii="Times New Roman" w:hAnsi="Times New Roman" w:cs="Times New Roman"/>
          <w:color w:val="000000" w:themeColor="text1"/>
          <w:sz w:val="24"/>
          <w:szCs w:val="24"/>
        </w:rPr>
        <w:t xml:space="preserve">  </w:t>
      </w:r>
    </w:p>
    <w:p w14:paraId="35FC1675" w14:textId="7DC3AC42" w:rsidR="00985CAA" w:rsidRPr="001F0C01" w:rsidRDefault="00717DF5" w:rsidP="006D3A62">
      <w:pPr>
        <w:spacing w:after="200" w:line="360" w:lineRule="auto"/>
        <w:rPr>
          <w:rFonts w:ascii="Times New Roman" w:eastAsia="Times New Roman" w:hAnsi="Times New Roman" w:cs="Times New Roman"/>
          <w:b/>
          <w:bCs/>
          <w:color w:val="000000"/>
          <w:kern w:val="0"/>
          <w:sz w:val="24"/>
          <w:szCs w:val="24"/>
          <w:lang w:val="de-DE"/>
          <w14:ligatures w14:val="none"/>
        </w:rPr>
      </w:pPr>
      <w:r w:rsidRPr="001F0C01">
        <w:rPr>
          <w:rFonts w:ascii="Times New Roman" w:eastAsia="Times New Roman" w:hAnsi="Times New Roman" w:cs="Times New Roman"/>
          <w:b/>
          <w:bCs/>
          <w:color w:val="000000"/>
          <w:kern w:val="0"/>
          <w:sz w:val="24"/>
          <w:szCs w:val="24"/>
          <w:lang w:val="de-DE"/>
          <w14:ligatures w14:val="none"/>
        </w:rPr>
        <w:t>References</w:t>
      </w:r>
    </w:p>
    <w:p w14:paraId="532668D9" w14:textId="7A7C6F0C" w:rsidR="006D3A62" w:rsidRDefault="006D3A62" w:rsidP="006D3A62">
      <w:pPr>
        <w:jc w:val="both"/>
        <w:rPr>
          <w:rFonts w:ascii="Times New Roman" w:hAnsi="Times New Roman" w:cs="Times New Roman"/>
          <w:color w:val="000000" w:themeColor="text1"/>
          <w:sz w:val="24"/>
          <w:szCs w:val="24"/>
        </w:rPr>
      </w:pPr>
      <w:r w:rsidRPr="001F0C01">
        <w:rPr>
          <w:rFonts w:ascii="Times New Roman" w:hAnsi="Times New Roman" w:cs="Times New Roman"/>
          <w:color w:val="000000" w:themeColor="text1"/>
          <w:sz w:val="24"/>
          <w:szCs w:val="24"/>
          <w:lang w:val="de-DE"/>
        </w:rPr>
        <w:t xml:space="preserve">Blanden, J. &amp; Machin, S. (2010). </w:t>
      </w:r>
      <w:r w:rsidRPr="0081090C">
        <w:rPr>
          <w:rFonts w:ascii="Times New Roman" w:hAnsi="Times New Roman" w:cs="Times New Roman"/>
          <w:color w:val="000000" w:themeColor="text1"/>
          <w:sz w:val="24"/>
          <w:szCs w:val="24"/>
        </w:rPr>
        <w:t>Intergenerational inequality in Early Years assessments.</w:t>
      </w:r>
      <w:r w:rsidRPr="0081090C">
        <w:rPr>
          <w:rFonts w:ascii="Times New Roman" w:hAnsi="Times New Roman" w:cs="Times New Roman"/>
          <w:color w:val="000000" w:themeColor="text1"/>
          <w:spacing w:val="-5"/>
          <w:sz w:val="24"/>
          <w:szCs w:val="24"/>
        </w:rPr>
        <w:t xml:space="preserve"> pp. 153-168 in Hansen, K.; Joshi, H. &amp; Dex, S. </w:t>
      </w:r>
      <w:r w:rsidRPr="0081090C">
        <w:rPr>
          <w:rFonts w:ascii="Times New Roman" w:hAnsi="Times New Roman" w:cs="Times New Roman"/>
          <w:color w:val="000000" w:themeColor="text1"/>
          <w:spacing w:val="-4"/>
          <w:sz w:val="24"/>
          <w:szCs w:val="24"/>
        </w:rPr>
        <w:t>Children of the 21st century (Volume 2): The first five years</w:t>
      </w:r>
      <w:r w:rsidRPr="0081090C">
        <w:rPr>
          <w:rFonts w:ascii="Times New Roman" w:hAnsi="Times New Roman" w:cs="Times New Roman"/>
          <w:color w:val="000000" w:themeColor="text1"/>
          <w:sz w:val="24"/>
          <w:szCs w:val="24"/>
        </w:rPr>
        <w:t xml:space="preserve"> </w:t>
      </w:r>
      <w:hyperlink r:id="rId19" w:history="1">
        <w:r w:rsidRPr="0081090C">
          <w:rPr>
            <w:rStyle w:val="Hyperlink"/>
            <w:rFonts w:ascii="Times New Roman" w:hAnsi="Times New Roman" w:cs="Times New Roman"/>
            <w:color w:val="000000" w:themeColor="text1"/>
            <w:sz w:val="24"/>
            <w:szCs w:val="24"/>
          </w:rPr>
          <w:t>https://doi.org/10.2307/j.ctt9qgrfx.17</w:t>
        </w:r>
      </w:hyperlink>
    </w:p>
    <w:p w14:paraId="20C44E1D" w14:textId="52E5AE44" w:rsidR="00D00A13" w:rsidRDefault="00D00A13" w:rsidP="00F62FE9">
      <w:pPr>
        <w:spacing w:line="276" w:lineRule="auto"/>
        <w:jc w:val="both"/>
        <w:rPr>
          <w:rFonts w:ascii="Times New Roman" w:hAnsi="Times New Roman" w:cs="Times New Roman"/>
          <w:color w:val="000000" w:themeColor="text1"/>
          <w:sz w:val="24"/>
          <w:szCs w:val="24"/>
        </w:rPr>
      </w:pPr>
      <w:r w:rsidRPr="0019653B">
        <w:rPr>
          <w:rFonts w:ascii="Times New Roman" w:hAnsi="Times New Roman" w:cs="Times New Roman"/>
          <w:color w:val="000000" w:themeColor="text1"/>
          <w:sz w:val="24"/>
          <w:szCs w:val="24"/>
        </w:rPr>
        <w:t xml:space="preserve">Blanden, J., Doepke, M., &amp; Stuhler, J. (2022). </w:t>
      </w:r>
      <w:r w:rsidRPr="0019653B">
        <w:rPr>
          <w:rStyle w:val="Emphasis"/>
          <w:rFonts w:ascii="Times New Roman" w:hAnsi="Times New Roman" w:cs="Times New Roman"/>
          <w:color w:val="000000" w:themeColor="text1"/>
          <w:sz w:val="24"/>
          <w:szCs w:val="24"/>
        </w:rPr>
        <w:t>Educational inequality</w:t>
      </w:r>
      <w:r w:rsidRPr="0019653B">
        <w:rPr>
          <w:rFonts w:ascii="Times New Roman" w:hAnsi="Times New Roman" w:cs="Times New Roman"/>
          <w:color w:val="000000" w:themeColor="text1"/>
          <w:sz w:val="24"/>
          <w:szCs w:val="24"/>
        </w:rPr>
        <w:t xml:space="preserve"> (IZA Discussion Paper No. 15225). Institute of Labor Economics (IZA). </w:t>
      </w:r>
      <w:hyperlink r:id="rId20" w:history="1">
        <w:r w:rsidRPr="0019653B">
          <w:rPr>
            <w:rStyle w:val="Hyperlink"/>
            <w:rFonts w:ascii="Times New Roman" w:hAnsi="Times New Roman" w:cs="Times New Roman"/>
            <w:color w:val="000000" w:themeColor="text1"/>
            <w:sz w:val="24"/>
            <w:szCs w:val="24"/>
          </w:rPr>
          <w:t>https://docs.iza.org/dp15225.pdf</w:t>
        </w:r>
      </w:hyperlink>
      <w:r w:rsidRPr="0019653B">
        <w:rPr>
          <w:rFonts w:ascii="Times New Roman" w:hAnsi="Times New Roman" w:cs="Times New Roman"/>
          <w:color w:val="000000" w:themeColor="text1"/>
          <w:sz w:val="24"/>
          <w:szCs w:val="24"/>
        </w:rPr>
        <w:t xml:space="preserve"> </w:t>
      </w:r>
    </w:p>
    <w:p w14:paraId="24084DD0" w14:textId="5AF74579" w:rsidR="0081090C" w:rsidRPr="0081090C" w:rsidRDefault="0081090C" w:rsidP="006D3A62">
      <w:pPr>
        <w:jc w:val="both"/>
        <w:rPr>
          <w:rFonts w:ascii="Times New Roman" w:hAnsi="Times New Roman" w:cs="Times New Roman"/>
          <w:color w:val="000000" w:themeColor="text1"/>
          <w:sz w:val="24"/>
          <w:szCs w:val="24"/>
        </w:rPr>
      </w:pPr>
      <w:r w:rsidRPr="0081090C">
        <w:rPr>
          <w:rFonts w:ascii="Times New Roman" w:hAnsi="Times New Roman" w:cs="Times New Roman"/>
          <w:color w:val="000000" w:themeColor="text1"/>
          <w:sz w:val="24"/>
          <w:szCs w:val="24"/>
        </w:rPr>
        <w:t xml:space="preserve">Burgess-Proctor, A. (2006). Intersections of Race, Class, Gender, and Crime: Future Directions for Feminist Criminology. </w:t>
      </w:r>
      <w:r w:rsidRPr="0081090C">
        <w:rPr>
          <w:rFonts w:ascii="Times New Roman" w:hAnsi="Times New Roman" w:cs="Times New Roman"/>
          <w:i/>
          <w:iCs/>
          <w:color w:val="000000" w:themeColor="text1"/>
          <w:sz w:val="24"/>
          <w:szCs w:val="24"/>
        </w:rPr>
        <w:t>Feminist Criminology</w:t>
      </w:r>
      <w:r w:rsidRPr="0081090C">
        <w:rPr>
          <w:rFonts w:ascii="Times New Roman" w:hAnsi="Times New Roman" w:cs="Times New Roman"/>
          <w:color w:val="000000" w:themeColor="text1"/>
          <w:sz w:val="24"/>
          <w:szCs w:val="24"/>
        </w:rPr>
        <w:t xml:space="preserve">, 1(1), 27-47. </w:t>
      </w:r>
      <w:hyperlink r:id="rId21" w:history="1">
        <w:r w:rsidR="00850699" w:rsidRPr="002A6E42">
          <w:rPr>
            <w:rStyle w:val="Hyperlink"/>
            <w:rFonts w:ascii="Times New Roman" w:hAnsi="Times New Roman" w:cs="Times New Roman"/>
            <w:sz w:val="24"/>
            <w:szCs w:val="24"/>
          </w:rPr>
          <w:t>https://doi.org/10.1177/1557085105282899</w:t>
        </w:r>
      </w:hyperlink>
      <w:r w:rsidR="00850699">
        <w:rPr>
          <w:rFonts w:ascii="Times New Roman" w:hAnsi="Times New Roman" w:cs="Times New Roman"/>
          <w:color w:val="000000" w:themeColor="text1"/>
          <w:sz w:val="24"/>
          <w:szCs w:val="24"/>
        </w:rPr>
        <w:t xml:space="preserve"> </w:t>
      </w:r>
    </w:p>
    <w:p w14:paraId="788A2F92" w14:textId="7FC01EDD" w:rsidR="00667199" w:rsidRDefault="00667199" w:rsidP="00667199">
      <w:pPr>
        <w:jc w:val="both"/>
        <w:rPr>
          <w:rStyle w:val="Hyperlink"/>
          <w:rFonts w:ascii="Times New Roman" w:hAnsi="Times New Roman" w:cs="Times New Roman"/>
          <w:sz w:val="24"/>
          <w:szCs w:val="24"/>
        </w:rPr>
      </w:pPr>
      <w:r w:rsidRPr="0081090C">
        <w:rPr>
          <w:rFonts w:ascii="Times New Roman" w:hAnsi="Times New Roman" w:cs="Times New Roman"/>
          <w:sz w:val="24"/>
          <w:szCs w:val="24"/>
        </w:rPr>
        <w:t>Crawford, C., Macmillan, L., &amp; Vignoles, A. (2017). When and why do initially high-achieving poor children fall behind? </w:t>
      </w:r>
      <w:r w:rsidRPr="0081090C">
        <w:rPr>
          <w:rFonts w:ascii="Times New Roman" w:hAnsi="Times New Roman" w:cs="Times New Roman"/>
          <w:i/>
          <w:iCs/>
          <w:sz w:val="24"/>
          <w:szCs w:val="24"/>
        </w:rPr>
        <w:t>Oxford Review of Education</w:t>
      </w:r>
      <w:r w:rsidRPr="0081090C">
        <w:rPr>
          <w:rFonts w:ascii="Times New Roman" w:hAnsi="Times New Roman" w:cs="Times New Roman"/>
          <w:sz w:val="24"/>
          <w:szCs w:val="24"/>
        </w:rPr>
        <w:t>, </w:t>
      </w:r>
      <w:r w:rsidRPr="0081090C">
        <w:rPr>
          <w:rFonts w:ascii="Times New Roman" w:hAnsi="Times New Roman" w:cs="Times New Roman"/>
          <w:i/>
          <w:iCs/>
          <w:sz w:val="24"/>
          <w:szCs w:val="24"/>
        </w:rPr>
        <w:t>43</w:t>
      </w:r>
      <w:r w:rsidRPr="0081090C">
        <w:rPr>
          <w:rFonts w:ascii="Times New Roman" w:hAnsi="Times New Roman" w:cs="Times New Roman"/>
          <w:sz w:val="24"/>
          <w:szCs w:val="24"/>
        </w:rPr>
        <w:t xml:space="preserve">(1), 88–108. </w:t>
      </w:r>
      <w:hyperlink r:id="rId22" w:history="1">
        <w:r w:rsidR="0006213A" w:rsidRPr="002A6E42">
          <w:rPr>
            <w:rStyle w:val="Hyperlink"/>
            <w:rFonts w:ascii="Times New Roman" w:hAnsi="Times New Roman" w:cs="Times New Roman"/>
            <w:sz w:val="24"/>
            <w:szCs w:val="24"/>
          </w:rPr>
          <w:t>https://doi.org/10.1080/03054985.2016.1240672</w:t>
        </w:r>
      </w:hyperlink>
    </w:p>
    <w:p w14:paraId="1CBF1171" w14:textId="3169F95C" w:rsidR="000031A0" w:rsidRDefault="000031A0" w:rsidP="00667199">
      <w:pPr>
        <w:jc w:val="both"/>
        <w:rPr>
          <w:rFonts w:ascii="Times New Roman" w:hAnsi="Times New Roman" w:cs="Times New Roman"/>
          <w:sz w:val="24"/>
          <w:szCs w:val="24"/>
        </w:rPr>
      </w:pPr>
      <w:r w:rsidRPr="000031A0">
        <w:rPr>
          <w:rFonts w:ascii="Times New Roman" w:hAnsi="Times New Roman" w:cs="Times New Roman"/>
          <w:sz w:val="24"/>
          <w:szCs w:val="24"/>
        </w:rPr>
        <w:t>Cummings, P. (2009). The relative merits of risk ratios and odds ratios. </w:t>
      </w:r>
      <w:r w:rsidRPr="000031A0">
        <w:rPr>
          <w:rFonts w:ascii="Times New Roman" w:hAnsi="Times New Roman" w:cs="Times New Roman"/>
          <w:i/>
          <w:iCs/>
          <w:sz w:val="24"/>
          <w:szCs w:val="24"/>
        </w:rPr>
        <w:t>Archives of Pediatrics &amp; Adolescent Medicine, 163</w:t>
      </w:r>
      <w:r w:rsidRPr="000031A0">
        <w:rPr>
          <w:rFonts w:ascii="Times New Roman" w:hAnsi="Times New Roman" w:cs="Times New Roman"/>
          <w:sz w:val="24"/>
          <w:szCs w:val="24"/>
        </w:rPr>
        <w:t xml:space="preserve">(5), 438–445. </w:t>
      </w:r>
      <w:hyperlink r:id="rId23" w:history="1">
        <w:r w:rsidRPr="00AE4776">
          <w:rPr>
            <w:rStyle w:val="Hyperlink"/>
            <w:rFonts w:ascii="Times New Roman" w:hAnsi="Times New Roman" w:cs="Times New Roman"/>
            <w:sz w:val="24"/>
            <w:szCs w:val="24"/>
          </w:rPr>
          <w:t>https://doi.org/10.1001/archpediatrics.2009.31</w:t>
        </w:r>
      </w:hyperlink>
      <w:r>
        <w:rPr>
          <w:rFonts w:ascii="Times New Roman" w:hAnsi="Times New Roman" w:cs="Times New Roman"/>
          <w:sz w:val="24"/>
          <w:szCs w:val="24"/>
        </w:rPr>
        <w:t xml:space="preserve"> </w:t>
      </w:r>
    </w:p>
    <w:p w14:paraId="3B16532E" w14:textId="31699735" w:rsidR="0006213A" w:rsidRPr="0081090C" w:rsidRDefault="0006213A" w:rsidP="00667199">
      <w:pPr>
        <w:jc w:val="both"/>
        <w:rPr>
          <w:rFonts w:ascii="Times New Roman" w:hAnsi="Times New Roman" w:cs="Times New Roman"/>
          <w:sz w:val="24"/>
          <w:szCs w:val="24"/>
        </w:rPr>
      </w:pPr>
      <w:r w:rsidRPr="0006213A">
        <w:rPr>
          <w:rFonts w:ascii="Times New Roman" w:hAnsi="Times New Roman" w:cs="Times New Roman"/>
          <w:sz w:val="24"/>
          <w:szCs w:val="24"/>
        </w:rPr>
        <w:t>Diezmann, C. M., &amp; Watters, J. J. (1997). Bright but bored: Optimising the environment for gifted children. </w:t>
      </w:r>
      <w:r w:rsidRPr="0006213A">
        <w:rPr>
          <w:rFonts w:ascii="Times New Roman" w:hAnsi="Times New Roman" w:cs="Times New Roman"/>
          <w:i/>
          <w:iCs/>
          <w:sz w:val="24"/>
          <w:szCs w:val="24"/>
        </w:rPr>
        <w:t>Australian Journal of Early Childhood, 22(2), 17-21.</w:t>
      </w:r>
    </w:p>
    <w:p w14:paraId="2DFB1B0D" w14:textId="4C70B47E" w:rsidR="00B01ED0" w:rsidRDefault="00667199" w:rsidP="00667199">
      <w:pPr>
        <w:jc w:val="both"/>
        <w:rPr>
          <w:rFonts w:ascii="Times New Roman" w:hAnsi="Times New Roman" w:cs="Times New Roman"/>
          <w:sz w:val="24"/>
          <w:szCs w:val="24"/>
        </w:rPr>
      </w:pPr>
      <w:r w:rsidRPr="0081090C">
        <w:rPr>
          <w:rFonts w:ascii="Times New Roman" w:hAnsi="Times New Roman" w:cs="Times New Roman"/>
          <w:sz w:val="24"/>
          <w:szCs w:val="24"/>
        </w:rPr>
        <w:t xml:space="preserve">Feinstein, L. (2003). Inequality in the Early Cognitive Development of British Children in the 1970 Cohort, </w:t>
      </w:r>
      <w:r w:rsidRPr="0081090C">
        <w:rPr>
          <w:rFonts w:ascii="Times New Roman" w:hAnsi="Times New Roman" w:cs="Times New Roman"/>
          <w:i/>
          <w:iCs/>
          <w:sz w:val="24"/>
          <w:szCs w:val="24"/>
        </w:rPr>
        <w:t>Economica</w:t>
      </w:r>
      <w:r w:rsidRPr="0081090C">
        <w:rPr>
          <w:rFonts w:ascii="Times New Roman" w:hAnsi="Times New Roman" w:cs="Times New Roman"/>
          <w:sz w:val="24"/>
          <w:szCs w:val="24"/>
        </w:rPr>
        <w:t xml:space="preserve"> 70: 73-97.</w:t>
      </w:r>
    </w:p>
    <w:p w14:paraId="41475D19" w14:textId="5122D8E2" w:rsidR="00B01ED0" w:rsidRPr="00B01ED0" w:rsidRDefault="00B01ED0" w:rsidP="00667199">
      <w:pPr>
        <w:jc w:val="both"/>
        <w:rPr>
          <w:rFonts w:ascii="Times New Roman" w:hAnsi="Times New Roman" w:cs="Times New Roman"/>
          <w:b/>
          <w:bCs/>
          <w:sz w:val="24"/>
          <w:szCs w:val="24"/>
        </w:rPr>
      </w:pPr>
      <w:r>
        <w:rPr>
          <w:rFonts w:ascii="Times New Roman" w:hAnsi="Times New Roman" w:cs="Times New Roman"/>
          <w:sz w:val="24"/>
          <w:szCs w:val="24"/>
        </w:rPr>
        <w:t xml:space="preserve">FFT Datalab. (2024). </w:t>
      </w:r>
      <w:r w:rsidRPr="00B01ED0">
        <w:rPr>
          <w:rFonts w:ascii="Times New Roman" w:hAnsi="Times New Roman" w:cs="Times New Roman"/>
          <w:sz w:val="24"/>
          <w:szCs w:val="24"/>
        </w:rPr>
        <w:t>The secondary school outcomes of pupils excluded (or suspended) in primary school.</w:t>
      </w:r>
      <w:r>
        <w:rPr>
          <w:rFonts w:ascii="Times New Roman" w:hAnsi="Times New Roman" w:cs="Times New Roman"/>
          <w:b/>
          <w:bCs/>
          <w:sz w:val="24"/>
          <w:szCs w:val="24"/>
        </w:rPr>
        <w:t xml:space="preserve"> </w:t>
      </w:r>
      <w:hyperlink r:id="rId24" w:history="1">
        <w:r w:rsidR="009A31AE" w:rsidRPr="002A6E42">
          <w:rPr>
            <w:rStyle w:val="Hyperlink"/>
            <w:rFonts w:ascii="Times New Roman" w:hAnsi="Times New Roman" w:cs="Times New Roman"/>
            <w:sz w:val="24"/>
            <w:szCs w:val="24"/>
          </w:rPr>
          <w:t>https://ffteducationdatalab.org.uk/2024/04/the-consequences-of-primary-school-exclusions/</w:t>
        </w:r>
      </w:hyperlink>
      <w:r>
        <w:rPr>
          <w:rFonts w:ascii="Times New Roman" w:hAnsi="Times New Roman" w:cs="Times New Roman"/>
          <w:sz w:val="24"/>
          <w:szCs w:val="24"/>
        </w:rPr>
        <w:t xml:space="preserve"> </w:t>
      </w:r>
    </w:p>
    <w:p w14:paraId="53114CB9" w14:textId="15499E90" w:rsidR="00850699" w:rsidRPr="0081090C" w:rsidRDefault="00850699" w:rsidP="00667199">
      <w:pPr>
        <w:jc w:val="both"/>
        <w:rPr>
          <w:rFonts w:ascii="Times New Roman" w:hAnsi="Times New Roman" w:cs="Times New Roman"/>
          <w:sz w:val="24"/>
          <w:szCs w:val="24"/>
        </w:rPr>
      </w:pPr>
      <w:r w:rsidRPr="00850699">
        <w:rPr>
          <w:rFonts w:ascii="Times New Roman" w:hAnsi="Times New Roman" w:cs="Times New Roman"/>
          <w:sz w:val="24"/>
          <w:szCs w:val="24"/>
        </w:rPr>
        <w:lastRenderedPageBreak/>
        <w:t xml:space="preserve">Graham, B., White, C., Edwards, A., Potter, S., &amp; Street, C. (2019). </w:t>
      </w:r>
      <w:r w:rsidRPr="00850699">
        <w:rPr>
          <w:rFonts w:ascii="Times New Roman" w:hAnsi="Times New Roman" w:cs="Times New Roman"/>
          <w:i/>
          <w:iCs/>
          <w:sz w:val="24"/>
          <w:szCs w:val="24"/>
        </w:rPr>
        <w:t>School exclusion: A literature review on the continued disproportionate exclusion of certain children</w:t>
      </w:r>
      <w:r w:rsidRPr="00850699">
        <w:rPr>
          <w:rFonts w:ascii="Times New Roman" w:hAnsi="Times New Roman" w:cs="Times New Roman"/>
          <w:sz w:val="24"/>
          <w:szCs w:val="24"/>
        </w:rPr>
        <w:t>. Department for Education.</w:t>
      </w:r>
      <w:r>
        <w:rPr>
          <w:rFonts w:ascii="Times New Roman" w:hAnsi="Times New Roman" w:cs="Times New Roman"/>
          <w:sz w:val="24"/>
          <w:szCs w:val="24"/>
        </w:rPr>
        <w:t xml:space="preserve"> </w:t>
      </w:r>
      <w:hyperlink r:id="rId25" w:history="1">
        <w:r w:rsidRPr="002A6E42">
          <w:rPr>
            <w:rStyle w:val="Hyperlink"/>
            <w:rFonts w:ascii="Times New Roman" w:hAnsi="Times New Roman" w:cs="Times New Roman"/>
            <w:sz w:val="24"/>
            <w:szCs w:val="24"/>
          </w:rPr>
          <w:t>https://assets.publishing.service.gov.uk/government/uploads/system/uploads/attachment_data/file/800028/Timpson_review_of_school_exclusion_literature_review.pdf</w:t>
        </w:r>
      </w:hyperlink>
      <w:r>
        <w:rPr>
          <w:rFonts w:ascii="Times New Roman" w:hAnsi="Times New Roman" w:cs="Times New Roman"/>
          <w:sz w:val="24"/>
          <w:szCs w:val="24"/>
        </w:rPr>
        <w:t xml:space="preserve"> </w:t>
      </w:r>
    </w:p>
    <w:p w14:paraId="01F98655" w14:textId="77777777" w:rsidR="00667199" w:rsidRPr="0081090C" w:rsidRDefault="00667199" w:rsidP="00667199">
      <w:pPr>
        <w:jc w:val="both"/>
        <w:rPr>
          <w:rFonts w:ascii="Times New Roman" w:hAnsi="Times New Roman" w:cs="Times New Roman"/>
          <w:sz w:val="24"/>
          <w:szCs w:val="24"/>
        </w:rPr>
      </w:pPr>
      <w:r w:rsidRPr="0081090C">
        <w:rPr>
          <w:rFonts w:ascii="Times New Roman" w:hAnsi="Times New Roman" w:cs="Times New Roman"/>
          <w:sz w:val="24"/>
          <w:szCs w:val="24"/>
        </w:rPr>
        <w:t>Holt-White, E. &amp; Cullinane, C. (2023).</w:t>
      </w:r>
      <w:r w:rsidRPr="0081090C">
        <w:rPr>
          <w:rFonts w:ascii="Times New Roman" w:hAnsi="Times New Roman" w:cs="Times New Roman"/>
          <w:i/>
          <w:iCs/>
          <w:sz w:val="24"/>
          <w:szCs w:val="24"/>
        </w:rPr>
        <w:t xml:space="preserve"> </w:t>
      </w:r>
      <w:r w:rsidRPr="0081090C">
        <w:rPr>
          <w:rFonts w:ascii="Times New Roman" w:hAnsi="Times New Roman" w:cs="Times New Roman"/>
          <w:i/>
          <w:iCs/>
          <w:color w:val="000000" w:themeColor="text1"/>
          <w:sz w:val="24"/>
          <w:szCs w:val="24"/>
        </w:rPr>
        <w:t>Social</w:t>
      </w:r>
      <w:r w:rsidRPr="0081090C">
        <w:rPr>
          <w:rFonts w:ascii="Times New Roman" w:hAnsi="Times New Roman" w:cs="Times New Roman"/>
          <w:i/>
          <w:iCs/>
          <w:sz w:val="24"/>
          <w:szCs w:val="24"/>
        </w:rPr>
        <w:t xml:space="preserve"> </w:t>
      </w:r>
      <w:r w:rsidRPr="0081090C">
        <w:rPr>
          <w:rFonts w:ascii="Times New Roman" w:hAnsi="Times New Roman" w:cs="Times New Roman"/>
          <w:i/>
          <w:iCs/>
          <w:color w:val="000000" w:themeColor="text1"/>
          <w:sz w:val="24"/>
          <w:szCs w:val="24"/>
        </w:rPr>
        <w:t>Mobility:</w:t>
      </w:r>
      <w:r w:rsidRPr="0081090C">
        <w:rPr>
          <w:rFonts w:ascii="Times New Roman" w:hAnsi="Times New Roman" w:cs="Times New Roman"/>
          <w:i/>
          <w:iCs/>
          <w:sz w:val="24"/>
          <w:szCs w:val="24"/>
        </w:rPr>
        <w:t xml:space="preserve"> </w:t>
      </w:r>
      <w:r w:rsidRPr="0081090C">
        <w:rPr>
          <w:rFonts w:ascii="Times New Roman" w:hAnsi="Times New Roman" w:cs="Times New Roman"/>
          <w:i/>
          <w:iCs/>
          <w:color w:val="000000" w:themeColor="text1"/>
          <w:sz w:val="24"/>
          <w:szCs w:val="24"/>
        </w:rPr>
        <w:t>The Next</w:t>
      </w:r>
      <w:r w:rsidRPr="0081090C">
        <w:rPr>
          <w:rFonts w:ascii="Times New Roman" w:hAnsi="Times New Roman" w:cs="Times New Roman"/>
          <w:i/>
          <w:iCs/>
          <w:sz w:val="24"/>
          <w:szCs w:val="24"/>
        </w:rPr>
        <w:t xml:space="preserve"> </w:t>
      </w:r>
      <w:r w:rsidRPr="0081090C">
        <w:rPr>
          <w:rFonts w:ascii="Times New Roman" w:hAnsi="Times New Roman" w:cs="Times New Roman"/>
          <w:i/>
          <w:iCs/>
          <w:color w:val="000000" w:themeColor="text1"/>
          <w:sz w:val="24"/>
          <w:szCs w:val="24"/>
        </w:rPr>
        <w:t>Generation</w:t>
      </w:r>
      <w:r w:rsidRPr="0081090C">
        <w:rPr>
          <w:rFonts w:ascii="Times New Roman" w:hAnsi="Times New Roman" w:cs="Times New Roman"/>
          <w:i/>
          <w:iCs/>
          <w:sz w:val="24"/>
          <w:szCs w:val="24"/>
        </w:rPr>
        <w:t xml:space="preserve"> </w:t>
      </w:r>
      <w:r w:rsidRPr="0081090C">
        <w:rPr>
          <w:rFonts w:ascii="Times New Roman" w:hAnsi="Times New Roman" w:cs="Times New Roman"/>
          <w:i/>
          <w:iCs/>
          <w:color w:val="000000" w:themeColor="text1"/>
          <w:sz w:val="24"/>
          <w:szCs w:val="24"/>
        </w:rPr>
        <w:t>Lost potential at age 16</w:t>
      </w:r>
      <w:r w:rsidRPr="0081090C">
        <w:rPr>
          <w:rFonts w:ascii="Times New Roman" w:hAnsi="Times New Roman" w:cs="Times New Roman"/>
          <w:color w:val="000000" w:themeColor="text1"/>
          <w:sz w:val="24"/>
          <w:szCs w:val="24"/>
        </w:rPr>
        <w:t xml:space="preserve">. London: Sutton Trust. </w:t>
      </w:r>
      <w:hyperlink r:id="rId26" w:anchor=":~:text=This%20report%20looks%20at%20the,the%20end%20of%20primary%20school" w:history="1">
        <w:r w:rsidRPr="0081090C">
          <w:rPr>
            <w:rStyle w:val="Hyperlink"/>
            <w:rFonts w:ascii="Times New Roman" w:hAnsi="Times New Roman" w:cs="Times New Roman"/>
            <w:sz w:val="24"/>
            <w:szCs w:val="24"/>
          </w:rPr>
          <w:t>https://www.suttontrust.com/our-research/social-mobility-the-next-generation-lost-potential-at-age-16/#:~:text=This%20report%20looks%20at%20the,the%20end%20of%20primary%20school</w:t>
        </w:r>
      </w:hyperlink>
    </w:p>
    <w:p w14:paraId="6A4B1965" w14:textId="77777777" w:rsidR="00667199" w:rsidRDefault="00667199" w:rsidP="00667199">
      <w:pPr>
        <w:jc w:val="both"/>
        <w:rPr>
          <w:rFonts w:ascii="Times New Roman" w:hAnsi="Times New Roman" w:cs="Times New Roman"/>
          <w:sz w:val="24"/>
          <w:szCs w:val="24"/>
        </w:rPr>
      </w:pPr>
      <w:r w:rsidRPr="0081090C">
        <w:rPr>
          <w:rFonts w:ascii="Times New Roman" w:hAnsi="Times New Roman" w:cs="Times New Roman"/>
          <w:sz w:val="24"/>
          <w:szCs w:val="24"/>
        </w:rPr>
        <w:t xml:space="preserve">Jerrim, J., &amp; Vignoles, A. (2013). Social mobility, regression to the mean and the cognitive development of high ability children from disadvantaged homes. </w:t>
      </w:r>
      <w:r w:rsidRPr="0081090C">
        <w:rPr>
          <w:rFonts w:ascii="Times New Roman" w:hAnsi="Times New Roman" w:cs="Times New Roman"/>
          <w:i/>
          <w:iCs/>
          <w:sz w:val="24"/>
          <w:szCs w:val="24"/>
        </w:rPr>
        <w:t>Journal of the Royal Statistical Society: Series A (Statistics in Society)</w:t>
      </w:r>
      <w:r w:rsidRPr="0081090C">
        <w:rPr>
          <w:rFonts w:ascii="Times New Roman" w:hAnsi="Times New Roman" w:cs="Times New Roman"/>
          <w:sz w:val="24"/>
          <w:szCs w:val="24"/>
        </w:rPr>
        <w:t xml:space="preserve"> 176: 887–906.</w:t>
      </w:r>
    </w:p>
    <w:p w14:paraId="5D082F6A" w14:textId="4645CCE1" w:rsidR="0046332C" w:rsidRPr="0081090C" w:rsidRDefault="0046332C" w:rsidP="00667199">
      <w:pPr>
        <w:jc w:val="both"/>
        <w:rPr>
          <w:rFonts w:ascii="Times New Roman" w:hAnsi="Times New Roman" w:cs="Times New Roman"/>
          <w:sz w:val="24"/>
          <w:szCs w:val="24"/>
        </w:rPr>
      </w:pPr>
      <w:r w:rsidRPr="0046332C">
        <w:rPr>
          <w:rFonts w:ascii="Times New Roman" w:hAnsi="Times New Roman" w:cs="Times New Roman"/>
          <w:sz w:val="24"/>
          <w:szCs w:val="24"/>
        </w:rPr>
        <w:t>Jerrim, J. (2023). Measuring parental income using administrative data. What is the best proxy available? </w:t>
      </w:r>
      <w:r w:rsidRPr="0046332C">
        <w:rPr>
          <w:rFonts w:ascii="Times New Roman" w:hAnsi="Times New Roman" w:cs="Times New Roman"/>
          <w:i/>
          <w:iCs/>
          <w:sz w:val="24"/>
          <w:szCs w:val="24"/>
        </w:rPr>
        <w:t>Research Papers in Education</w:t>
      </w:r>
      <w:r w:rsidRPr="0046332C">
        <w:rPr>
          <w:rFonts w:ascii="Times New Roman" w:hAnsi="Times New Roman" w:cs="Times New Roman"/>
          <w:sz w:val="24"/>
          <w:szCs w:val="24"/>
        </w:rPr>
        <w:t xml:space="preserve">, 1–25. </w:t>
      </w:r>
      <w:hyperlink r:id="rId27" w:history="1">
        <w:r w:rsidRPr="00BD45A0">
          <w:rPr>
            <w:rStyle w:val="Hyperlink"/>
            <w:rFonts w:ascii="Times New Roman" w:hAnsi="Times New Roman" w:cs="Times New Roman"/>
            <w:sz w:val="24"/>
            <w:szCs w:val="24"/>
          </w:rPr>
          <w:t>https://doi.org/10.1080/02671522.2023.2271930</w:t>
        </w:r>
      </w:hyperlink>
      <w:r>
        <w:rPr>
          <w:rFonts w:ascii="Times New Roman" w:hAnsi="Times New Roman" w:cs="Times New Roman"/>
          <w:sz w:val="24"/>
          <w:szCs w:val="24"/>
        </w:rPr>
        <w:t xml:space="preserve"> </w:t>
      </w:r>
    </w:p>
    <w:p w14:paraId="5FA18144" w14:textId="741593FB" w:rsidR="00EE71B3" w:rsidRDefault="00EE71B3" w:rsidP="00667199">
      <w:pPr>
        <w:jc w:val="both"/>
        <w:rPr>
          <w:rFonts w:ascii="Times New Roman" w:hAnsi="Times New Roman" w:cs="Times New Roman"/>
          <w:sz w:val="24"/>
          <w:szCs w:val="24"/>
        </w:rPr>
      </w:pPr>
      <w:r w:rsidRPr="0081090C">
        <w:rPr>
          <w:rFonts w:ascii="Times New Roman" w:hAnsi="Times New Roman" w:cs="Times New Roman"/>
          <w:sz w:val="24"/>
          <w:szCs w:val="24"/>
        </w:rPr>
        <w:t xml:space="preserve">Jerrim, J. &amp; Carvajal, M. (2024). What happens to bright 5-year-olds from poor backgrounds? Longitudinal evidence from the Millennium Cohort Study. </w:t>
      </w:r>
      <w:hyperlink r:id="rId28" w:tgtFrame="_self" w:history="1">
        <w:r w:rsidRPr="0081090C">
          <w:rPr>
            <w:rStyle w:val="Hyperlink"/>
            <w:rFonts w:ascii="Times New Roman" w:hAnsi="Times New Roman" w:cs="Times New Roman"/>
            <w:color w:val="2D6A9F"/>
            <w:sz w:val="24"/>
            <w:szCs w:val="24"/>
          </w:rPr>
          <w:t>https://doi.org/10.35542/osf.io/64vg9</w:t>
        </w:r>
      </w:hyperlink>
    </w:p>
    <w:p w14:paraId="4D37FD01" w14:textId="5DFF37A9" w:rsidR="0048592D" w:rsidRDefault="0048592D" w:rsidP="00667199">
      <w:pPr>
        <w:jc w:val="both"/>
        <w:rPr>
          <w:rFonts w:ascii="Times New Roman" w:hAnsi="Times New Roman" w:cs="Times New Roman"/>
          <w:sz w:val="24"/>
          <w:szCs w:val="24"/>
        </w:rPr>
      </w:pPr>
      <w:r w:rsidRPr="0048592D">
        <w:rPr>
          <w:rFonts w:ascii="Times New Roman" w:hAnsi="Times New Roman" w:cs="Times New Roman"/>
          <w:sz w:val="24"/>
          <w:szCs w:val="24"/>
        </w:rPr>
        <w:t xml:space="preserve">Klein, M., &amp; Sosu, E. (2024). School absences, academic achievement, and adolescents’ post-school destinations. </w:t>
      </w:r>
      <w:r w:rsidRPr="0048592D">
        <w:rPr>
          <w:rFonts w:ascii="Times New Roman" w:hAnsi="Times New Roman" w:cs="Times New Roman"/>
          <w:i/>
          <w:iCs/>
          <w:sz w:val="24"/>
          <w:szCs w:val="24"/>
        </w:rPr>
        <w:t>Oxford Review of Education, 1–18</w:t>
      </w:r>
      <w:r w:rsidRPr="0048592D">
        <w:rPr>
          <w:rFonts w:ascii="Times New Roman" w:hAnsi="Times New Roman" w:cs="Times New Roman"/>
          <w:sz w:val="24"/>
          <w:szCs w:val="24"/>
        </w:rPr>
        <w:t xml:space="preserve">. </w:t>
      </w:r>
      <w:hyperlink r:id="rId29" w:tgtFrame="_new" w:history="1">
        <w:r w:rsidRPr="0048592D">
          <w:rPr>
            <w:rStyle w:val="Hyperlink"/>
            <w:rFonts w:ascii="Times New Roman" w:hAnsi="Times New Roman" w:cs="Times New Roman"/>
            <w:sz w:val="24"/>
            <w:szCs w:val="24"/>
          </w:rPr>
          <w:t>https://doi.org/10.1080/03054985.2024.2308520</w:t>
        </w:r>
      </w:hyperlink>
    </w:p>
    <w:p w14:paraId="71209FE9" w14:textId="77777777" w:rsidR="00D00A13" w:rsidRPr="001F0C01" w:rsidRDefault="00D00A13" w:rsidP="00D00A13">
      <w:pPr>
        <w:spacing w:line="240" w:lineRule="auto"/>
        <w:jc w:val="both"/>
        <w:rPr>
          <w:rFonts w:ascii="Times New Roman" w:hAnsi="Times New Roman" w:cs="Times New Roman"/>
          <w:color w:val="000000" w:themeColor="text1"/>
          <w:sz w:val="24"/>
          <w:szCs w:val="24"/>
          <w:shd w:val="clear" w:color="auto" w:fill="FFFFFF"/>
          <w:lang w:val="it-IT"/>
        </w:rPr>
      </w:pPr>
      <w:r w:rsidRPr="0019653B">
        <w:rPr>
          <w:rFonts w:ascii="Times New Roman" w:hAnsi="Times New Roman" w:cs="Times New Roman"/>
          <w:color w:val="000000" w:themeColor="text1"/>
          <w:sz w:val="24"/>
          <w:szCs w:val="24"/>
          <w:shd w:val="clear" w:color="auto" w:fill="FFFFFF"/>
        </w:rPr>
        <w:t>Mackenbach, J. P., Valverde, J. R., Artnik, B., Bopp, M., Brønnum-Hansen, H., Deboosere, P., Kalediene, R., Kovács, K., Leinsalu, M., Martikainen, P., Menvielle, G., Regidor, E., Rychtaříková, J., Rodriguez-Sanz, M., Vineis, P., White, C., Wojtyniak, B., Hu, Y., &amp; Nusselder, W. J. (2018). Trends in health inequalities in 27 European countries. </w:t>
      </w:r>
      <w:r w:rsidRPr="0019653B">
        <w:rPr>
          <w:rFonts w:ascii="Times New Roman" w:hAnsi="Times New Roman" w:cs="Times New Roman"/>
          <w:i/>
          <w:iCs/>
          <w:color w:val="000000" w:themeColor="text1"/>
          <w:sz w:val="24"/>
          <w:szCs w:val="24"/>
          <w:shd w:val="clear" w:color="auto" w:fill="FFFFFF"/>
        </w:rPr>
        <w:t>Proceedings of the National Academy of Sciences of the United States of America</w:t>
      </w:r>
      <w:r w:rsidRPr="0019653B">
        <w:rPr>
          <w:rFonts w:ascii="Times New Roman" w:hAnsi="Times New Roman" w:cs="Times New Roman"/>
          <w:color w:val="000000" w:themeColor="text1"/>
          <w:sz w:val="24"/>
          <w:szCs w:val="24"/>
          <w:shd w:val="clear" w:color="auto" w:fill="FFFFFF"/>
        </w:rPr>
        <w:t>, </w:t>
      </w:r>
      <w:r w:rsidRPr="0019653B">
        <w:rPr>
          <w:rFonts w:ascii="Times New Roman" w:hAnsi="Times New Roman" w:cs="Times New Roman"/>
          <w:i/>
          <w:iCs/>
          <w:color w:val="000000" w:themeColor="text1"/>
          <w:sz w:val="24"/>
          <w:szCs w:val="24"/>
          <w:shd w:val="clear" w:color="auto" w:fill="FFFFFF"/>
        </w:rPr>
        <w:t>115</w:t>
      </w:r>
      <w:r w:rsidRPr="0019653B">
        <w:rPr>
          <w:rFonts w:ascii="Times New Roman" w:hAnsi="Times New Roman" w:cs="Times New Roman"/>
          <w:color w:val="000000" w:themeColor="text1"/>
          <w:sz w:val="24"/>
          <w:szCs w:val="24"/>
          <w:shd w:val="clear" w:color="auto" w:fill="FFFFFF"/>
        </w:rPr>
        <w:t xml:space="preserve">(25), 6440–6445. </w:t>
      </w:r>
      <w:hyperlink r:id="rId30" w:history="1">
        <w:r w:rsidRPr="001F0C01">
          <w:rPr>
            <w:rStyle w:val="Hyperlink"/>
            <w:rFonts w:ascii="Times New Roman" w:hAnsi="Times New Roman" w:cs="Times New Roman"/>
            <w:color w:val="000000" w:themeColor="text1"/>
            <w:sz w:val="24"/>
            <w:szCs w:val="24"/>
            <w:shd w:val="clear" w:color="auto" w:fill="FFFFFF"/>
            <w:lang w:val="it-IT"/>
          </w:rPr>
          <w:t>https://doi.org/10.1073/pnas.1800028115</w:t>
        </w:r>
      </w:hyperlink>
    </w:p>
    <w:p w14:paraId="1ADBACBD" w14:textId="1C95BA18" w:rsidR="0006213A" w:rsidRDefault="0006213A" w:rsidP="00D00A13">
      <w:pPr>
        <w:spacing w:line="240" w:lineRule="auto"/>
        <w:jc w:val="both"/>
        <w:rPr>
          <w:rFonts w:ascii="Times New Roman" w:hAnsi="Times New Roman" w:cs="Times New Roman"/>
          <w:color w:val="000000" w:themeColor="text1"/>
          <w:sz w:val="24"/>
          <w:szCs w:val="24"/>
          <w:shd w:val="clear" w:color="auto" w:fill="FFFFFF"/>
        </w:rPr>
      </w:pPr>
      <w:r w:rsidRPr="001F0C01">
        <w:rPr>
          <w:rFonts w:ascii="Times New Roman" w:hAnsi="Times New Roman" w:cs="Times New Roman"/>
          <w:color w:val="000000" w:themeColor="text1"/>
          <w:sz w:val="24"/>
          <w:szCs w:val="24"/>
          <w:shd w:val="clear" w:color="auto" w:fill="FFFFFF"/>
          <w:lang w:val="it-IT"/>
        </w:rPr>
        <w:t xml:space="preserve">Martínez-Monteagudo, Á., Martínez-Monteagudo, M. C., &amp; Delgado, B. (2023). </w:t>
      </w:r>
      <w:r w:rsidRPr="0006213A">
        <w:rPr>
          <w:rFonts w:ascii="Times New Roman" w:hAnsi="Times New Roman" w:cs="Times New Roman"/>
          <w:color w:val="000000" w:themeColor="text1"/>
          <w:sz w:val="24"/>
          <w:szCs w:val="24"/>
          <w:shd w:val="clear" w:color="auto" w:fill="FFFFFF"/>
        </w:rPr>
        <w:t xml:space="preserve">School bullying and cyberbullying in academically gifted students: A systematic review. </w:t>
      </w:r>
      <w:r w:rsidRPr="0006213A">
        <w:rPr>
          <w:rFonts w:ascii="Times New Roman" w:hAnsi="Times New Roman" w:cs="Times New Roman"/>
          <w:i/>
          <w:iCs/>
          <w:color w:val="000000" w:themeColor="text1"/>
          <w:sz w:val="24"/>
          <w:szCs w:val="24"/>
          <w:shd w:val="clear" w:color="auto" w:fill="FFFFFF"/>
        </w:rPr>
        <w:t>Aggression and Violent Behavior, 71</w:t>
      </w:r>
      <w:r w:rsidRPr="0006213A">
        <w:rPr>
          <w:rFonts w:ascii="Times New Roman" w:hAnsi="Times New Roman" w:cs="Times New Roman"/>
          <w:color w:val="000000" w:themeColor="text1"/>
          <w:sz w:val="24"/>
          <w:szCs w:val="24"/>
          <w:shd w:val="clear" w:color="auto" w:fill="FFFFFF"/>
        </w:rPr>
        <w:t xml:space="preserve">, 101842. </w:t>
      </w:r>
      <w:hyperlink r:id="rId31" w:tgtFrame="_new" w:history="1">
        <w:r w:rsidRPr="0006213A">
          <w:rPr>
            <w:rStyle w:val="Hyperlink"/>
            <w:rFonts w:ascii="Times New Roman" w:hAnsi="Times New Roman" w:cs="Times New Roman"/>
            <w:sz w:val="24"/>
            <w:szCs w:val="24"/>
            <w:shd w:val="clear" w:color="auto" w:fill="FFFFFF"/>
          </w:rPr>
          <w:t>https://doi.org/10.1016/j.avb.2023.101842</w:t>
        </w:r>
      </w:hyperlink>
    </w:p>
    <w:p w14:paraId="34915F04" w14:textId="6389768F" w:rsidR="00C63248" w:rsidRDefault="00C63248" w:rsidP="00D00A13">
      <w:pPr>
        <w:spacing w:line="240" w:lineRule="auto"/>
        <w:jc w:val="both"/>
        <w:rPr>
          <w:rFonts w:ascii="Times New Roman" w:hAnsi="Times New Roman" w:cs="Times New Roman"/>
          <w:color w:val="000000" w:themeColor="text1"/>
          <w:sz w:val="24"/>
          <w:szCs w:val="24"/>
          <w:shd w:val="clear" w:color="auto" w:fill="FFFFFF"/>
        </w:rPr>
      </w:pPr>
      <w:r w:rsidRPr="00C63248">
        <w:rPr>
          <w:rFonts w:ascii="Times New Roman" w:hAnsi="Times New Roman" w:cs="Times New Roman"/>
          <w:color w:val="000000" w:themeColor="text1"/>
          <w:sz w:val="24"/>
          <w:szCs w:val="24"/>
          <w:shd w:val="clear" w:color="auto" w:fill="FFFFFF"/>
        </w:rPr>
        <w:t>Mazerolle, L., Bennett, S., Antrobus, E. </w:t>
      </w:r>
      <w:r w:rsidRPr="00C63248">
        <w:rPr>
          <w:rFonts w:ascii="Times New Roman" w:hAnsi="Times New Roman" w:cs="Times New Roman"/>
          <w:i/>
          <w:iCs/>
          <w:color w:val="000000" w:themeColor="text1"/>
          <w:sz w:val="24"/>
          <w:szCs w:val="24"/>
          <w:shd w:val="clear" w:color="auto" w:fill="FFFFFF"/>
        </w:rPr>
        <w:t>et al.</w:t>
      </w:r>
      <w:r w:rsidRPr="00C63248">
        <w:rPr>
          <w:rFonts w:ascii="Times New Roman" w:hAnsi="Times New Roman" w:cs="Times New Roman"/>
          <w:color w:val="000000" w:themeColor="text1"/>
          <w:sz w:val="24"/>
          <w:szCs w:val="24"/>
          <w:shd w:val="clear" w:color="auto" w:fill="FFFFFF"/>
        </w:rPr>
        <w:t> Disrupting the Pathway from Truancy to Delinquency: A Randomized Field Trial Test of the Longitudinal Impact of a School Engagement Program. </w:t>
      </w:r>
      <w:r w:rsidRPr="00C63248">
        <w:rPr>
          <w:rFonts w:ascii="Times New Roman" w:hAnsi="Times New Roman" w:cs="Times New Roman"/>
          <w:i/>
          <w:iCs/>
          <w:color w:val="000000" w:themeColor="text1"/>
          <w:sz w:val="24"/>
          <w:szCs w:val="24"/>
          <w:shd w:val="clear" w:color="auto" w:fill="FFFFFF"/>
        </w:rPr>
        <w:t>J Quant Criminol</w:t>
      </w:r>
      <w:r w:rsidRPr="00C63248">
        <w:rPr>
          <w:rFonts w:ascii="Times New Roman" w:hAnsi="Times New Roman" w:cs="Times New Roman"/>
          <w:color w:val="000000" w:themeColor="text1"/>
          <w:sz w:val="24"/>
          <w:szCs w:val="24"/>
          <w:shd w:val="clear" w:color="auto" w:fill="FFFFFF"/>
        </w:rPr>
        <w:t> </w:t>
      </w:r>
      <w:r w:rsidRPr="00C63248">
        <w:rPr>
          <w:rFonts w:ascii="Times New Roman" w:hAnsi="Times New Roman" w:cs="Times New Roman"/>
          <w:b/>
          <w:bCs/>
          <w:color w:val="000000" w:themeColor="text1"/>
          <w:sz w:val="24"/>
          <w:szCs w:val="24"/>
          <w:shd w:val="clear" w:color="auto" w:fill="FFFFFF"/>
        </w:rPr>
        <w:t>35</w:t>
      </w:r>
      <w:r w:rsidRPr="00C63248">
        <w:rPr>
          <w:rFonts w:ascii="Times New Roman" w:hAnsi="Times New Roman" w:cs="Times New Roman"/>
          <w:color w:val="000000" w:themeColor="text1"/>
          <w:sz w:val="24"/>
          <w:szCs w:val="24"/>
          <w:shd w:val="clear" w:color="auto" w:fill="FFFFFF"/>
        </w:rPr>
        <w:t xml:space="preserve">, 663–689 (2019). </w:t>
      </w:r>
      <w:hyperlink r:id="rId32" w:history="1">
        <w:r w:rsidRPr="002A6E42">
          <w:rPr>
            <w:rStyle w:val="Hyperlink"/>
            <w:rFonts w:ascii="Times New Roman" w:hAnsi="Times New Roman" w:cs="Times New Roman"/>
            <w:sz w:val="24"/>
            <w:szCs w:val="24"/>
            <w:shd w:val="clear" w:color="auto" w:fill="FFFFFF"/>
          </w:rPr>
          <w:t>https://doi.org/10.1007/s10940-018-9395-8</w:t>
        </w:r>
      </w:hyperlink>
      <w:r>
        <w:rPr>
          <w:rFonts w:ascii="Times New Roman" w:hAnsi="Times New Roman" w:cs="Times New Roman"/>
          <w:color w:val="000000" w:themeColor="text1"/>
          <w:sz w:val="24"/>
          <w:szCs w:val="24"/>
          <w:shd w:val="clear" w:color="auto" w:fill="FFFFFF"/>
        </w:rPr>
        <w:t xml:space="preserve"> </w:t>
      </w:r>
    </w:p>
    <w:p w14:paraId="1AA2D225" w14:textId="2DFED8B9" w:rsidR="008B1FA2" w:rsidRPr="008B1FA2" w:rsidRDefault="008B1FA2" w:rsidP="00D00A1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Ministry of Justice. (2022). </w:t>
      </w:r>
      <w:r w:rsidRPr="008B1FA2">
        <w:rPr>
          <w:rFonts w:ascii="Times New Roman" w:hAnsi="Times New Roman" w:cs="Times New Roman"/>
          <w:sz w:val="24"/>
          <w:szCs w:val="24"/>
        </w:rPr>
        <w:t>Data First: An Introductory User Guide</w:t>
      </w:r>
      <w:r>
        <w:rPr>
          <w:rFonts w:ascii="Times New Roman" w:hAnsi="Times New Roman" w:cs="Times New Roman"/>
          <w:sz w:val="24"/>
          <w:szCs w:val="24"/>
        </w:rPr>
        <w:t xml:space="preserve">. </w:t>
      </w:r>
      <w:hyperlink r:id="rId33" w:history="1">
        <w:r w:rsidRPr="002A6E42">
          <w:rPr>
            <w:rStyle w:val="Hyperlink"/>
            <w:rFonts w:ascii="Times New Roman" w:hAnsi="Times New Roman" w:cs="Times New Roman"/>
            <w:sz w:val="24"/>
            <w:szCs w:val="24"/>
          </w:rPr>
          <w:t>https://assets.publishing.service.gov.uk/government/uploads/system/uploads/attachment_data/file/1056236/data-first-user-guide-version-7.0.pdf</w:t>
        </w:r>
      </w:hyperlink>
      <w:r>
        <w:rPr>
          <w:rFonts w:ascii="Times New Roman" w:hAnsi="Times New Roman" w:cs="Times New Roman"/>
          <w:sz w:val="24"/>
          <w:szCs w:val="24"/>
        </w:rPr>
        <w:t xml:space="preserve"> </w:t>
      </w:r>
    </w:p>
    <w:p w14:paraId="5B629CA7" w14:textId="681F56A3" w:rsidR="00D00A13" w:rsidRDefault="00D00A13" w:rsidP="00D00A13">
      <w:pPr>
        <w:spacing w:line="240" w:lineRule="auto"/>
        <w:jc w:val="both"/>
        <w:rPr>
          <w:rFonts w:ascii="Times New Roman" w:hAnsi="Times New Roman" w:cs="Times New Roman"/>
          <w:color w:val="000000" w:themeColor="text1"/>
          <w:sz w:val="24"/>
          <w:szCs w:val="24"/>
          <w:shd w:val="clear" w:color="auto" w:fill="FFFFFF"/>
        </w:rPr>
      </w:pPr>
      <w:r w:rsidRPr="0019653B">
        <w:rPr>
          <w:rFonts w:ascii="Times New Roman" w:hAnsi="Times New Roman" w:cs="Times New Roman"/>
          <w:color w:val="000000" w:themeColor="text1"/>
          <w:sz w:val="24"/>
          <w:szCs w:val="24"/>
          <w:shd w:val="clear" w:color="auto" w:fill="FFFFFF"/>
        </w:rPr>
        <w:t>OECD (2018), </w:t>
      </w:r>
      <w:r w:rsidRPr="0019653B">
        <w:rPr>
          <w:rFonts w:ascii="Times New Roman" w:hAnsi="Times New Roman" w:cs="Times New Roman"/>
          <w:i/>
          <w:iCs/>
          <w:color w:val="000000" w:themeColor="text1"/>
          <w:sz w:val="24"/>
          <w:szCs w:val="24"/>
          <w:bdr w:val="none" w:sz="0" w:space="0" w:color="auto" w:frame="1"/>
          <w:shd w:val="clear" w:color="auto" w:fill="FFFFFF"/>
        </w:rPr>
        <w:t>A Broken Social Elevator? How to Promote Social Mobility</w:t>
      </w:r>
      <w:r w:rsidRPr="0019653B">
        <w:rPr>
          <w:rFonts w:ascii="Times New Roman" w:hAnsi="Times New Roman" w:cs="Times New Roman"/>
          <w:color w:val="000000" w:themeColor="text1"/>
          <w:sz w:val="24"/>
          <w:szCs w:val="24"/>
          <w:shd w:val="clear" w:color="auto" w:fill="FFFFFF"/>
        </w:rPr>
        <w:t>, OECD Publishing, Paris, </w:t>
      </w:r>
      <w:hyperlink r:id="rId34" w:history="1">
        <w:r w:rsidRPr="0019653B">
          <w:rPr>
            <w:rStyle w:val="Hyperlink"/>
            <w:rFonts w:ascii="Times New Roman" w:hAnsi="Times New Roman" w:cs="Times New Roman"/>
            <w:color w:val="000000" w:themeColor="text1"/>
            <w:sz w:val="24"/>
            <w:szCs w:val="24"/>
            <w:bdr w:val="none" w:sz="0" w:space="0" w:color="auto" w:frame="1"/>
            <w:shd w:val="clear" w:color="auto" w:fill="FFFFFF"/>
          </w:rPr>
          <w:t>https://doi.org/10.1787/9789264301085-en</w:t>
        </w:r>
      </w:hyperlink>
      <w:r w:rsidRPr="0019653B">
        <w:rPr>
          <w:rFonts w:ascii="Times New Roman" w:hAnsi="Times New Roman" w:cs="Times New Roman"/>
          <w:color w:val="000000" w:themeColor="text1"/>
          <w:sz w:val="24"/>
          <w:szCs w:val="24"/>
          <w:shd w:val="clear" w:color="auto" w:fill="FFFFFF"/>
        </w:rPr>
        <w:t>.</w:t>
      </w:r>
    </w:p>
    <w:p w14:paraId="5DF18F74" w14:textId="7FBF8AF5" w:rsidR="00C63248" w:rsidRDefault="00C63248" w:rsidP="00D00A13">
      <w:pPr>
        <w:spacing w:line="240" w:lineRule="auto"/>
        <w:jc w:val="both"/>
        <w:rPr>
          <w:rFonts w:ascii="Times New Roman" w:hAnsi="Times New Roman" w:cs="Times New Roman"/>
          <w:color w:val="000000" w:themeColor="text1"/>
          <w:sz w:val="24"/>
          <w:szCs w:val="24"/>
          <w:shd w:val="clear" w:color="auto" w:fill="FFFFFF"/>
        </w:rPr>
      </w:pPr>
      <w:r w:rsidRPr="00C63248">
        <w:rPr>
          <w:rFonts w:ascii="Times New Roman" w:hAnsi="Times New Roman" w:cs="Times New Roman"/>
          <w:color w:val="000000" w:themeColor="text1"/>
          <w:sz w:val="24"/>
          <w:szCs w:val="24"/>
          <w:shd w:val="clear" w:color="auto" w:fill="FFFFFF"/>
        </w:rPr>
        <w:t>Schall, J., Wallace, T. L., &amp; Chhuon, V. (2014). ‘Fitting in’ in high school: how adolescent belonging is influenced by locus of control beliefs. </w:t>
      </w:r>
      <w:r w:rsidRPr="00C63248">
        <w:rPr>
          <w:rFonts w:ascii="Times New Roman" w:hAnsi="Times New Roman" w:cs="Times New Roman"/>
          <w:i/>
          <w:iCs/>
          <w:color w:val="000000" w:themeColor="text1"/>
          <w:sz w:val="24"/>
          <w:szCs w:val="24"/>
          <w:shd w:val="clear" w:color="auto" w:fill="FFFFFF"/>
        </w:rPr>
        <w:t>International Journal of Adolescence and Youth</w:t>
      </w:r>
      <w:r w:rsidRPr="00C63248">
        <w:rPr>
          <w:rFonts w:ascii="Times New Roman" w:hAnsi="Times New Roman" w:cs="Times New Roman"/>
          <w:color w:val="000000" w:themeColor="text1"/>
          <w:sz w:val="24"/>
          <w:szCs w:val="24"/>
          <w:shd w:val="clear" w:color="auto" w:fill="FFFFFF"/>
        </w:rPr>
        <w:t>, </w:t>
      </w:r>
      <w:r w:rsidRPr="00C63248">
        <w:rPr>
          <w:rFonts w:ascii="Times New Roman" w:hAnsi="Times New Roman" w:cs="Times New Roman"/>
          <w:i/>
          <w:iCs/>
          <w:color w:val="000000" w:themeColor="text1"/>
          <w:sz w:val="24"/>
          <w:szCs w:val="24"/>
          <w:shd w:val="clear" w:color="auto" w:fill="FFFFFF"/>
        </w:rPr>
        <w:t>21</w:t>
      </w:r>
      <w:r w:rsidRPr="00C63248">
        <w:rPr>
          <w:rFonts w:ascii="Times New Roman" w:hAnsi="Times New Roman" w:cs="Times New Roman"/>
          <w:color w:val="000000" w:themeColor="text1"/>
          <w:sz w:val="24"/>
          <w:szCs w:val="24"/>
          <w:shd w:val="clear" w:color="auto" w:fill="FFFFFF"/>
        </w:rPr>
        <w:t xml:space="preserve">(4), 462–475. </w:t>
      </w:r>
      <w:hyperlink r:id="rId35" w:history="1">
        <w:r w:rsidRPr="002A6E42">
          <w:rPr>
            <w:rStyle w:val="Hyperlink"/>
            <w:rFonts w:ascii="Times New Roman" w:hAnsi="Times New Roman" w:cs="Times New Roman"/>
            <w:sz w:val="24"/>
            <w:szCs w:val="24"/>
            <w:shd w:val="clear" w:color="auto" w:fill="FFFFFF"/>
          </w:rPr>
          <w:t>https://doi.org/10.1080/02673843.2013.866148</w:t>
        </w:r>
      </w:hyperlink>
      <w:r>
        <w:rPr>
          <w:rFonts w:ascii="Times New Roman" w:hAnsi="Times New Roman" w:cs="Times New Roman"/>
          <w:color w:val="000000" w:themeColor="text1"/>
          <w:sz w:val="24"/>
          <w:szCs w:val="24"/>
          <w:shd w:val="clear" w:color="auto" w:fill="FFFFFF"/>
        </w:rPr>
        <w:t xml:space="preserve"> </w:t>
      </w:r>
    </w:p>
    <w:p w14:paraId="63BA7AB8" w14:textId="01470A45" w:rsidR="00843FB4" w:rsidRPr="00D00A13" w:rsidRDefault="00D84696" w:rsidP="00D00A13">
      <w:pPr>
        <w:spacing w:line="240" w:lineRule="auto"/>
        <w:jc w:val="both"/>
        <w:rPr>
          <w:rFonts w:ascii="Times New Roman" w:hAnsi="Times New Roman" w:cs="Times New Roman"/>
          <w:color w:val="000000" w:themeColor="text1"/>
          <w:sz w:val="24"/>
          <w:szCs w:val="24"/>
        </w:rPr>
      </w:pPr>
      <w:r>
        <w:rPr>
          <w:rStyle w:val="Hyperlink"/>
          <w:rFonts w:ascii="Times New Roman" w:hAnsi="Times New Roman" w:cs="Times New Roman"/>
          <w:color w:val="000000" w:themeColor="text1"/>
          <w:sz w:val="24"/>
          <w:szCs w:val="24"/>
          <w:u w:val="none"/>
        </w:rPr>
        <w:lastRenderedPageBreak/>
        <w:t>Social Mobility Commission. (2023).</w:t>
      </w:r>
      <w:r w:rsidR="003D5869">
        <w:rPr>
          <w:rStyle w:val="Hyperlink"/>
          <w:rFonts w:ascii="Times New Roman" w:hAnsi="Times New Roman" w:cs="Times New Roman"/>
          <w:color w:val="000000" w:themeColor="text1"/>
          <w:sz w:val="24"/>
          <w:szCs w:val="24"/>
          <w:u w:val="none"/>
        </w:rPr>
        <w:t xml:space="preserve"> </w:t>
      </w:r>
      <w:r w:rsidR="003D5869" w:rsidRPr="003D5869">
        <w:rPr>
          <w:rFonts w:ascii="Times New Roman" w:eastAsia="Times New Roman" w:hAnsi="Times New Roman" w:cs="Times New Roman"/>
          <w:color w:val="0B0C0C"/>
          <w:kern w:val="36"/>
          <w:sz w:val="24"/>
          <w:szCs w:val="24"/>
          <w:lang w:eastAsia="en-GB"/>
          <w14:ligatures w14:val="none"/>
        </w:rPr>
        <w:t>State of the Nation 2023: People and Places</w:t>
      </w:r>
      <w:r w:rsidR="003D5869">
        <w:rPr>
          <w:rFonts w:ascii="Times New Roman" w:eastAsia="Times New Roman" w:hAnsi="Times New Roman" w:cs="Times New Roman"/>
          <w:color w:val="0B0C0C"/>
          <w:kern w:val="36"/>
          <w:sz w:val="24"/>
          <w:szCs w:val="24"/>
          <w:lang w:eastAsia="en-GB"/>
          <w14:ligatures w14:val="none"/>
        </w:rPr>
        <w:t xml:space="preserve">. </w:t>
      </w:r>
      <w:hyperlink r:id="rId36" w:history="1">
        <w:r w:rsidR="003D5869" w:rsidRPr="002A6E42">
          <w:rPr>
            <w:rStyle w:val="Hyperlink"/>
            <w:rFonts w:ascii="Times New Roman" w:eastAsia="Times New Roman" w:hAnsi="Times New Roman" w:cs="Times New Roman"/>
            <w:kern w:val="36"/>
            <w:sz w:val="24"/>
            <w:szCs w:val="24"/>
            <w:lang w:eastAsia="en-GB"/>
            <w14:ligatures w14:val="none"/>
          </w:rPr>
          <w:t>https://www.gov.uk/government/publications/state-of-the-nation-2023-people-and-places</w:t>
        </w:r>
      </w:hyperlink>
      <w:r w:rsidR="003D5869">
        <w:rPr>
          <w:rFonts w:ascii="Times New Roman" w:eastAsia="Times New Roman" w:hAnsi="Times New Roman" w:cs="Times New Roman"/>
          <w:color w:val="0B0C0C"/>
          <w:kern w:val="36"/>
          <w:sz w:val="24"/>
          <w:szCs w:val="24"/>
          <w:lang w:eastAsia="en-GB"/>
          <w14:ligatures w14:val="none"/>
        </w:rPr>
        <w:t xml:space="preserve"> </w:t>
      </w:r>
    </w:p>
    <w:p w14:paraId="1BBAF5AE" w14:textId="0AC8B760" w:rsidR="0081090C" w:rsidRPr="0081090C" w:rsidRDefault="0081090C" w:rsidP="00667199">
      <w:pPr>
        <w:jc w:val="both"/>
        <w:rPr>
          <w:rFonts w:ascii="Times New Roman" w:hAnsi="Times New Roman" w:cs="Times New Roman"/>
          <w:sz w:val="24"/>
          <w:szCs w:val="24"/>
        </w:rPr>
      </w:pPr>
      <w:r w:rsidRPr="0081090C">
        <w:rPr>
          <w:rFonts w:ascii="Times New Roman" w:hAnsi="Times New Roman" w:cs="Times New Roman"/>
          <w:sz w:val="24"/>
          <w:szCs w:val="24"/>
        </w:rPr>
        <w:t xml:space="preserve">Sosu, E. M., Dare, S., Goodfellow, C., &amp; Klein, M. (2021). Socioeconomic status and school absenteeism: A systematic review and narrative synthesis. </w:t>
      </w:r>
      <w:r w:rsidRPr="0081090C">
        <w:rPr>
          <w:rFonts w:ascii="Times New Roman" w:hAnsi="Times New Roman" w:cs="Times New Roman"/>
          <w:i/>
          <w:iCs/>
          <w:sz w:val="24"/>
          <w:szCs w:val="24"/>
        </w:rPr>
        <w:t>Review of Education, 9</w:t>
      </w:r>
      <w:r w:rsidRPr="0081090C">
        <w:rPr>
          <w:rFonts w:ascii="Times New Roman" w:hAnsi="Times New Roman" w:cs="Times New Roman"/>
          <w:sz w:val="24"/>
          <w:szCs w:val="24"/>
        </w:rPr>
        <w:t xml:space="preserve">(e3291). </w:t>
      </w:r>
      <w:hyperlink r:id="rId37" w:tgtFrame="_new" w:history="1">
        <w:r w:rsidRPr="0081090C">
          <w:rPr>
            <w:rStyle w:val="Hyperlink"/>
            <w:rFonts w:ascii="Times New Roman" w:hAnsi="Times New Roman" w:cs="Times New Roman"/>
            <w:sz w:val="24"/>
            <w:szCs w:val="24"/>
          </w:rPr>
          <w:t>https://doi.org/10.1002/rev3.3291</w:t>
        </w:r>
      </w:hyperlink>
    </w:p>
    <w:p w14:paraId="1A2A8020" w14:textId="77777777" w:rsidR="0081090C" w:rsidRPr="0081090C" w:rsidRDefault="00667199" w:rsidP="0081090C">
      <w:pPr>
        <w:jc w:val="both"/>
        <w:rPr>
          <w:rFonts w:ascii="Times New Roman" w:hAnsi="Times New Roman" w:cs="Times New Roman"/>
          <w:sz w:val="24"/>
          <w:szCs w:val="24"/>
        </w:rPr>
      </w:pPr>
      <w:r w:rsidRPr="0081090C">
        <w:rPr>
          <w:rFonts w:ascii="Times New Roman" w:hAnsi="Times New Roman" w:cs="Times New Roman"/>
          <w:sz w:val="24"/>
          <w:szCs w:val="24"/>
        </w:rPr>
        <w:t xml:space="preserve">Wainer, H., &amp; Brown, L. M. (2006). Three Statistical Paradoxes in the Interpretation of Group Differences: Illustrated with Medical School Admission and Licensing Data. In C. R. Rao &amp; S. Sinharay (Eds.), Handbook of Statistics (Vol. 26, pp. 893-918). Elsevier. ISSN 0169-7161. ISBN 9780444521033. </w:t>
      </w:r>
      <w:hyperlink r:id="rId38" w:tgtFrame="_new" w:history="1">
        <w:r w:rsidRPr="0081090C">
          <w:rPr>
            <w:rStyle w:val="Hyperlink"/>
            <w:rFonts w:ascii="Times New Roman" w:hAnsi="Times New Roman" w:cs="Times New Roman"/>
            <w:sz w:val="24"/>
            <w:szCs w:val="24"/>
          </w:rPr>
          <w:t>https://doi.org/10.1016/S0169-7161(06)26028-0</w:t>
        </w:r>
      </w:hyperlink>
      <w:r w:rsidRPr="0081090C">
        <w:rPr>
          <w:rFonts w:ascii="Times New Roman" w:hAnsi="Times New Roman" w:cs="Times New Roman"/>
          <w:sz w:val="24"/>
          <w:szCs w:val="24"/>
        </w:rPr>
        <w:t>.</w:t>
      </w:r>
    </w:p>
    <w:p w14:paraId="1DEF9D9B" w14:textId="663BB00E" w:rsidR="007D596B" w:rsidRDefault="0081090C" w:rsidP="00095659">
      <w:pPr>
        <w:jc w:val="both"/>
      </w:pPr>
      <w:r w:rsidRPr="0081090C">
        <w:rPr>
          <w:rStyle w:val="Strong"/>
          <w:rFonts w:ascii="Times New Roman" w:hAnsi="Times New Roman" w:cs="Times New Roman"/>
          <w:b w:val="0"/>
          <w:bCs w:val="0"/>
          <w:color w:val="333333"/>
          <w:sz w:val="24"/>
          <w:szCs w:val="24"/>
        </w:rPr>
        <w:t>Washbrook, E</w:t>
      </w:r>
      <w:r w:rsidRPr="0081090C">
        <w:rPr>
          <w:rFonts w:ascii="Times New Roman" w:hAnsi="Times New Roman" w:cs="Times New Roman"/>
          <w:b/>
          <w:bCs/>
          <w:color w:val="333333"/>
          <w:sz w:val="24"/>
          <w:szCs w:val="24"/>
        </w:rPr>
        <w:t>.</w:t>
      </w:r>
      <w:r w:rsidRPr="0081090C">
        <w:rPr>
          <w:rFonts w:ascii="Times New Roman" w:hAnsi="Times New Roman" w:cs="Times New Roman"/>
          <w:color w:val="333333"/>
          <w:sz w:val="24"/>
          <w:szCs w:val="24"/>
        </w:rPr>
        <w:t xml:space="preserve"> &amp; Lee, R. (2015). Social class differences in early cognitive development </w:t>
      </w:r>
    </w:p>
    <w:p w14:paraId="406280AF" w14:textId="77777777" w:rsidR="007D596B" w:rsidRDefault="007D596B" w:rsidP="007D596B"/>
    <w:sectPr w:rsidR="007D596B" w:rsidSect="00DE0F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E392B" w14:textId="77777777" w:rsidR="00AE30DD" w:rsidRDefault="00AE30DD" w:rsidP="00F80596">
      <w:pPr>
        <w:spacing w:after="0" w:line="240" w:lineRule="auto"/>
      </w:pPr>
      <w:r>
        <w:separator/>
      </w:r>
    </w:p>
  </w:endnote>
  <w:endnote w:type="continuationSeparator" w:id="0">
    <w:p w14:paraId="0AC3D4A6" w14:textId="77777777" w:rsidR="00AE30DD" w:rsidRDefault="00AE30DD" w:rsidP="00F80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9066409"/>
      <w:docPartObj>
        <w:docPartGallery w:val="Page Numbers (Bottom of Page)"/>
        <w:docPartUnique/>
      </w:docPartObj>
    </w:sdtPr>
    <w:sdtEndPr>
      <w:rPr>
        <w:noProof/>
      </w:rPr>
    </w:sdtEndPr>
    <w:sdtContent>
      <w:p w14:paraId="4128FCF7" w14:textId="638562B2" w:rsidR="001D009E" w:rsidRDefault="001D00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7B9794" w14:textId="77777777" w:rsidR="001D009E" w:rsidRDefault="001D0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7BFB8" w14:textId="77777777" w:rsidR="00AE30DD" w:rsidRDefault="00AE30DD" w:rsidP="00F80596">
      <w:pPr>
        <w:spacing w:after="0" w:line="240" w:lineRule="auto"/>
      </w:pPr>
      <w:r>
        <w:separator/>
      </w:r>
    </w:p>
  </w:footnote>
  <w:footnote w:type="continuationSeparator" w:id="0">
    <w:p w14:paraId="60A41B11" w14:textId="77777777" w:rsidR="00AE30DD" w:rsidRDefault="00AE30DD" w:rsidP="00F80596">
      <w:pPr>
        <w:spacing w:after="0" w:line="240" w:lineRule="auto"/>
      </w:pPr>
      <w:r>
        <w:continuationSeparator/>
      </w:r>
    </w:p>
  </w:footnote>
  <w:footnote w:id="1">
    <w:p w14:paraId="383BE220" w14:textId="77777777" w:rsidR="00F80596" w:rsidRPr="009716A5" w:rsidRDefault="00F80596" w:rsidP="00F80596">
      <w:pPr>
        <w:spacing w:after="0" w:line="240" w:lineRule="auto"/>
        <w:jc w:val="both"/>
        <w:rPr>
          <w:rFonts w:ascii="Times New Roman" w:hAnsi="Times New Roman" w:cs="Times New Roman"/>
          <w:color w:val="000000"/>
          <w:sz w:val="20"/>
          <w:szCs w:val="20"/>
          <w:lang w:val="en-US"/>
        </w:rPr>
      </w:pPr>
      <w:r w:rsidRPr="00206ED2">
        <w:rPr>
          <w:rStyle w:val="FootnoteReference"/>
          <w:rFonts w:ascii="Times New Roman" w:hAnsi="Times New Roman" w:cs="Times New Roman"/>
          <w:sz w:val="20"/>
          <w:szCs w:val="20"/>
        </w:rPr>
        <w:footnoteRef/>
      </w:r>
      <w:r w:rsidRPr="00206ED2">
        <w:rPr>
          <w:rFonts w:ascii="Times New Roman" w:hAnsi="Times New Roman" w:cs="Times New Roman"/>
          <w:sz w:val="20"/>
          <w:szCs w:val="20"/>
        </w:rPr>
        <w:t xml:space="preserve"> </w:t>
      </w:r>
      <w:r w:rsidRPr="00206ED2">
        <w:rPr>
          <w:rFonts w:ascii="Times New Roman" w:hAnsi="Times New Roman" w:cs="Times New Roman"/>
          <w:bCs/>
          <w:color w:val="000000"/>
          <w:sz w:val="20"/>
          <w:szCs w:val="20"/>
        </w:rPr>
        <w:t xml:space="preserve">Social Research Institute, University College London, </w:t>
      </w:r>
      <w:r w:rsidRPr="00206ED2">
        <w:rPr>
          <w:rFonts w:ascii="Times New Roman" w:hAnsi="Times New Roman" w:cs="Times New Roman"/>
          <w:color w:val="000000"/>
          <w:sz w:val="20"/>
          <w:szCs w:val="20"/>
        </w:rPr>
        <w:t xml:space="preserve">20 Bedford Way London, WC1H 0AL. </w:t>
      </w:r>
      <w:r w:rsidRPr="009716A5">
        <w:rPr>
          <w:rFonts w:ascii="Times New Roman" w:hAnsi="Times New Roman" w:cs="Times New Roman"/>
          <w:color w:val="000000"/>
          <w:sz w:val="20"/>
          <w:szCs w:val="20"/>
          <w:lang w:val="en-US"/>
        </w:rPr>
        <w:t xml:space="preserve">E-mail: </w:t>
      </w:r>
      <w:hyperlink r:id="rId1" w:history="1">
        <w:r w:rsidRPr="009716A5">
          <w:rPr>
            <w:rStyle w:val="Hyperlink1"/>
            <w:rFonts w:ascii="Times New Roman" w:hAnsi="Times New Roman" w:cs="Times New Roman"/>
            <w:sz w:val="20"/>
            <w:szCs w:val="20"/>
            <w:lang w:val="en-US"/>
          </w:rPr>
          <w:t>j.jerrim@ucl.ac.uk</w:t>
        </w:r>
      </w:hyperlink>
      <w:r w:rsidRPr="009716A5">
        <w:rPr>
          <w:rFonts w:ascii="Times New Roman" w:hAnsi="Times New Roman" w:cs="Times New Roman"/>
          <w:sz w:val="20"/>
          <w:szCs w:val="20"/>
          <w:lang w:val="en-US"/>
        </w:rPr>
        <w:t xml:space="preserve"> </w:t>
      </w:r>
      <w:r w:rsidRPr="009716A5">
        <w:rPr>
          <w:rFonts w:ascii="Times New Roman" w:hAnsi="Times New Roman" w:cs="Times New Roman"/>
          <w:color w:val="000000"/>
          <w:sz w:val="20"/>
          <w:szCs w:val="20"/>
          <w:lang w:val="en-US"/>
        </w:rPr>
        <w:t>(John Jerrim)</w:t>
      </w:r>
      <w:r w:rsidRPr="009716A5">
        <w:rPr>
          <w:rFonts w:ascii="Times New Roman" w:hAnsi="Times New Roman" w:cs="Times New Roman"/>
          <w:bCs/>
          <w:color w:val="000000"/>
          <w:sz w:val="20"/>
          <w:szCs w:val="20"/>
          <w:lang w:val="en-US"/>
        </w:rPr>
        <w:t>.</w:t>
      </w:r>
    </w:p>
  </w:footnote>
  <w:footnote w:id="2">
    <w:p w14:paraId="4464D285" w14:textId="6E73589E" w:rsidR="00A76D0A" w:rsidRDefault="00A76D0A" w:rsidP="00A76D0A">
      <w:pPr>
        <w:pStyle w:val="FootnoteText"/>
        <w:jc w:val="both"/>
      </w:pPr>
      <w:r>
        <w:rPr>
          <w:rStyle w:val="FootnoteReference"/>
        </w:rPr>
        <w:footnoteRef/>
      </w:r>
      <w:r>
        <w:t xml:space="preserve"> </w:t>
      </w:r>
      <w:r w:rsidRPr="00A76D0A">
        <w:rPr>
          <w:rFonts w:ascii="Times New Roman" w:hAnsi="Times New Roman" w:cs="Times New Roman"/>
        </w:rPr>
        <w:t>This is where measurement error in the test used to divide pupils into different achievement groups leads to a statistical artifact, inflating the fall(rise) in initially high-achieving (low-achieving) pupils test scores over time.</w:t>
      </w:r>
    </w:p>
  </w:footnote>
  <w:footnote w:id="3">
    <w:p w14:paraId="100A7E0E" w14:textId="664ED74F" w:rsidR="009C2F29" w:rsidRPr="009C2F29" w:rsidRDefault="009C2F29" w:rsidP="009C2F29">
      <w:pPr>
        <w:pStyle w:val="FootnoteText"/>
        <w:jc w:val="both"/>
        <w:rPr>
          <w:rFonts w:ascii="Times New Roman" w:hAnsi="Times New Roman" w:cs="Times New Roman"/>
        </w:rPr>
      </w:pPr>
      <w:r w:rsidRPr="009C2F29">
        <w:rPr>
          <w:rStyle w:val="FootnoteReference"/>
          <w:rFonts w:ascii="Times New Roman" w:hAnsi="Times New Roman" w:cs="Times New Roman"/>
        </w:rPr>
        <w:footnoteRef/>
      </w:r>
      <w:r w:rsidRPr="009C2F29">
        <w:rPr>
          <w:rFonts w:ascii="Times New Roman" w:hAnsi="Times New Roman" w:cs="Times New Roman"/>
        </w:rPr>
        <w:t xml:space="preserve"> The same threshold for attainment is used for both socio-economically advantaged and disadvantaged pupils (top 25% of the Key Stage 2 distribution nationally).</w:t>
      </w:r>
    </w:p>
  </w:footnote>
  <w:footnote w:id="4">
    <w:p w14:paraId="07D5DF22" w14:textId="30B9751C" w:rsidR="00FE00D4" w:rsidRPr="006548BF" w:rsidRDefault="00FE00D4" w:rsidP="006548BF">
      <w:pPr>
        <w:pStyle w:val="FootnoteText"/>
        <w:jc w:val="both"/>
        <w:rPr>
          <w:rFonts w:ascii="Times New Roman" w:hAnsi="Times New Roman" w:cs="Times New Roman"/>
        </w:rPr>
      </w:pPr>
      <w:r w:rsidRPr="006548BF">
        <w:rPr>
          <w:rStyle w:val="FootnoteReference"/>
          <w:rFonts w:ascii="Times New Roman" w:hAnsi="Times New Roman" w:cs="Times New Roman"/>
        </w:rPr>
        <w:footnoteRef/>
      </w:r>
      <w:r w:rsidRPr="006548BF">
        <w:rPr>
          <w:rFonts w:ascii="Times New Roman" w:hAnsi="Times New Roman" w:cs="Times New Roman"/>
        </w:rPr>
        <w:t xml:space="preserve"> In England, the school year is divided into six half-terms, each of which are roughly six to seven weeks long.</w:t>
      </w:r>
    </w:p>
  </w:footnote>
  <w:footnote w:id="5">
    <w:p w14:paraId="41CCA6D3" w14:textId="73D0015C" w:rsidR="00EA1208" w:rsidRPr="008D406C" w:rsidRDefault="00EA1208" w:rsidP="006548BF">
      <w:pPr>
        <w:pStyle w:val="FootnoteText"/>
        <w:jc w:val="both"/>
      </w:pPr>
      <w:r w:rsidRPr="008D406C">
        <w:rPr>
          <w:rStyle w:val="FootnoteReference"/>
          <w:rFonts w:ascii="Times New Roman" w:hAnsi="Times New Roman" w:cs="Times New Roman"/>
        </w:rPr>
        <w:footnoteRef/>
      </w:r>
      <w:r w:rsidRPr="008D406C">
        <w:rPr>
          <w:rFonts w:ascii="Times New Roman" w:hAnsi="Times New Roman" w:cs="Times New Roman"/>
        </w:rPr>
        <w:t xml:space="preserve"> </w:t>
      </w:r>
      <w:r w:rsidR="008D406C" w:rsidRPr="008D406C">
        <w:rPr>
          <w:rFonts w:ascii="Times New Roman" w:hAnsi="Times New Roman" w:cs="Times New Roman"/>
        </w:rPr>
        <w:t xml:space="preserve">Just 0.16% of secondary pupils are ever permanently excluded (FFT, 2024).When investigating permanent exclusions, </w:t>
      </w:r>
      <w:r w:rsidR="008D406C" w:rsidRPr="008D406C">
        <w:rPr>
          <w:rStyle w:val="Hyperlink"/>
          <w:rFonts w:ascii="Times New Roman" w:hAnsi="Times New Roman" w:cs="Times New Roman"/>
          <w:color w:val="000000" w:themeColor="text1"/>
          <w:u w:val="none"/>
        </w:rPr>
        <w:t>we again create binary indicators for whether the child was permanently excluded at any point during the academic year.</w:t>
      </w:r>
      <w:r w:rsidR="008D406C" w:rsidRPr="008D406C">
        <w:rPr>
          <w:rFonts w:ascii="Times New Roman" w:hAnsi="Times New Roman" w:cs="Times New Roman"/>
        </w:rPr>
        <w:t xml:space="preserve"> </w:t>
      </w:r>
    </w:p>
  </w:footnote>
  <w:footnote w:id="6">
    <w:p w14:paraId="2F464BD5" w14:textId="170EC9AF" w:rsidR="003801FA" w:rsidRPr="00FC344C" w:rsidRDefault="003801FA" w:rsidP="00FC344C">
      <w:pPr>
        <w:pStyle w:val="FootnoteText"/>
        <w:jc w:val="both"/>
        <w:rPr>
          <w:rFonts w:ascii="Times New Roman" w:hAnsi="Times New Roman" w:cs="Times New Roman"/>
        </w:rPr>
      </w:pPr>
      <w:r w:rsidRPr="00FC344C">
        <w:rPr>
          <w:rStyle w:val="FootnoteReference"/>
          <w:rFonts w:ascii="Times New Roman" w:hAnsi="Times New Roman" w:cs="Times New Roman"/>
        </w:rPr>
        <w:footnoteRef/>
      </w:r>
      <w:r w:rsidRPr="00FC344C">
        <w:rPr>
          <w:rFonts w:ascii="Times New Roman" w:hAnsi="Times New Roman" w:cs="Times New Roman"/>
        </w:rPr>
        <w:t xml:space="preserve"> Short time intervals – such as termly figures </w:t>
      </w:r>
      <w:r w:rsidR="00FC344C" w:rsidRPr="00FC344C">
        <w:rPr>
          <w:rFonts w:ascii="Times New Roman" w:hAnsi="Times New Roman" w:cs="Times New Roman"/>
        </w:rPr>
        <w:t>–</w:t>
      </w:r>
      <w:r w:rsidRPr="00FC344C">
        <w:rPr>
          <w:rFonts w:ascii="Times New Roman" w:hAnsi="Times New Roman" w:cs="Times New Roman"/>
        </w:rPr>
        <w:t xml:space="preserve"> would</w:t>
      </w:r>
      <w:r w:rsidR="00FC344C" w:rsidRPr="00FC344C">
        <w:rPr>
          <w:rFonts w:ascii="Times New Roman" w:hAnsi="Times New Roman" w:cs="Times New Roman"/>
        </w:rPr>
        <w:t xml:space="preserve"> result in insufficient numbers of observations and would not meet statistical disclosure protocols.</w:t>
      </w:r>
    </w:p>
  </w:footnote>
  <w:footnote w:id="7">
    <w:p w14:paraId="3A9E37FC" w14:textId="7DE7679C" w:rsidR="008C759A" w:rsidRPr="005022C3" w:rsidRDefault="008C759A">
      <w:pPr>
        <w:pStyle w:val="FootnoteText"/>
        <w:rPr>
          <w:rFonts w:ascii="Times New Roman" w:hAnsi="Times New Roman" w:cs="Times New Roman"/>
        </w:rPr>
      </w:pPr>
      <w:r w:rsidRPr="005022C3">
        <w:rPr>
          <w:rStyle w:val="FootnoteReference"/>
          <w:rFonts w:ascii="Times New Roman" w:hAnsi="Times New Roman" w:cs="Times New Roman"/>
        </w:rPr>
        <w:footnoteRef/>
      </w:r>
      <w:r w:rsidRPr="005022C3">
        <w:rPr>
          <w:rFonts w:ascii="Times New Roman" w:hAnsi="Times New Roman" w:cs="Times New Roman"/>
        </w:rPr>
        <w:t xml:space="preserve"> For Cohort C, the latest age we can observe </w:t>
      </w:r>
      <w:r w:rsidR="002D5627">
        <w:rPr>
          <w:rFonts w:ascii="Times New Roman" w:hAnsi="Times New Roman" w:cs="Times New Roman"/>
        </w:rPr>
        <w:t>whether they were cautioned/sentenced</w:t>
      </w:r>
      <w:r w:rsidR="005022C3" w:rsidRPr="005022C3">
        <w:rPr>
          <w:rFonts w:ascii="Times New Roman" w:hAnsi="Times New Roman" w:cs="Times New Roman"/>
        </w:rPr>
        <w:t xml:space="preserve"> is age </w:t>
      </w:r>
      <w:r w:rsidR="00FF7F53">
        <w:rPr>
          <w:rFonts w:ascii="Times New Roman" w:hAnsi="Times New Roman" w:cs="Times New Roman"/>
        </w:rPr>
        <w:t>20</w:t>
      </w:r>
      <w:r w:rsidR="005022C3" w:rsidRPr="005022C3">
        <w:rPr>
          <w:rFonts w:ascii="Times New Roman" w:hAnsi="Times New Roman" w:cs="Times New Roman"/>
        </w:rPr>
        <w:t>.</w:t>
      </w:r>
    </w:p>
  </w:footnote>
  <w:footnote w:id="8">
    <w:p w14:paraId="74706760" w14:textId="4B4819D5" w:rsidR="009533C1" w:rsidRPr="00E85677" w:rsidRDefault="009533C1" w:rsidP="00E85677">
      <w:pPr>
        <w:pStyle w:val="FootnoteText"/>
        <w:jc w:val="both"/>
        <w:rPr>
          <w:rFonts w:ascii="Times New Roman" w:hAnsi="Times New Roman" w:cs="Times New Roman"/>
        </w:rPr>
      </w:pPr>
      <w:r w:rsidRPr="00E85677">
        <w:rPr>
          <w:rStyle w:val="FootnoteReference"/>
          <w:rFonts w:ascii="Times New Roman" w:hAnsi="Times New Roman" w:cs="Times New Roman"/>
        </w:rPr>
        <w:footnoteRef/>
      </w:r>
      <w:r w:rsidRPr="00E85677">
        <w:rPr>
          <w:rFonts w:ascii="Times New Roman" w:hAnsi="Times New Roman" w:cs="Times New Roman"/>
        </w:rPr>
        <w:t xml:space="preserve"> The summer term of Year 11 is a notable exception, where the absence rate </w:t>
      </w:r>
      <w:r w:rsidR="00877F91" w:rsidRPr="00E85677">
        <w:rPr>
          <w:rFonts w:ascii="Times New Roman" w:hAnsi="Times New Roman" w:cs="Times New Roman"/>
        </w:rPr>
        <w:t xml:space="preserve">increases sharply to around 10%. This coincides with the timing of GCSE examinations in </w:t>
      </w:r>
      <w:r w:rsidR="00FF7F53" w:rsidRPr="00E85677">
        <w:rPr>
          <w:rFonts w:ascii="Times New Roman" w:hAnsi="Times New Roman" w:cs="Times New Roman"/>
        </w:rPr>
        <w:t>England and</w:t>
      </w:r>
      <w:r w:rsidR="009F68FC" w:rsidRPr="00E85677">
        <w:rPr>
          <w:rFonts w:ascii="Times New Roman" w:hAnsi="Times New Roman" w:cs="Times New Roman"/>
        </w:rPr>
        <w:t xml:space="preserve"> may be due to pupils deciding to revise at home or not returning to school </w:t>
      </w:r>
      <w:r w:rsidR="00D0376D" w:rsidRPr="00E85677">
        <w:rPr>
          <w:rFonts w:ascii="Times New Roman" w:hAnsi="Times New Roman" w:cs="Times New Roman"/>
        </w:rPr>
        <w:t xml:space="preserve">once their examinations have finished. </w:t>
      </w:r>
    </w:p>
  </w:footnote>
  <w:footnote w:id="9">
    <w:p w14:paraId="477C62C0" w14:textId="152539CB" w:rsidR="00FA68AF" w:rsidRPr="007807EB" w:rsidRDefault="00FA68AF" w:rsidP="00FA68AF">
      <w:pPr>
        <w:pStyle w:val="FootnoteText"/>
        <w:jc w:val="both"/>
        <w:rPr>
          <w:rFonts w:ascii="Times New Roman" w:hAnsi="Times New Roman" w:cs="Times New Roman"/>
        </w:rPr>
      </w:pPr>
      <w:r w:rsidRPr="007807EB">
        <w:rPr>
          <w:rStyle w:val="FootnoteReference"/>
          <w:rFonts w:ascii="Times New Roman" w:hAnsi="Times New Roman" w:cs="Times New Roman"/>
        </w:rPr>
        <w:footnoteRef/>
      </w:r>
      <w:r w:rsidRPr="007807EB">
        <w:rPr>
          <w:rFonts w:ascii="Times New Roman" w:hAnsi="Times New Roman" w:cs="Times New Roman"/>
        </w:rPr>
        <w:t xml:space="preserve"> As the binary outcomes investigated in this paper are rare, then the odds ratio will closely approximate the risk ratio (Cummings, 2009). We will thus on occasion interpret odds ratios as if they were risk ratios to facilitate communication of our results.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10884"/>
    <w:multiLevelType w:val="hybridMultilevel"/>
    <w:tmpl w:val="F0162176"/>
    <w:lvl w:ilvl="0" w:tplc="70224A1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3833DD"/>
    <w:multiLevelType w:val="multilevel"/>
    <w:tmpl w:val="BCD83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EC7978"/>
    <w:multiLevelType w:val="hybridMultilevel"/>
    <w:tmpl w:val="7C5EBB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830BF0"/>
    <w:multiLevelType w:val="hybridMultilevel"/>
    <w:tmpl w:val="B7BAD1E4"/>
    <w:lvl w:ilvl="0" w:tplc="1460ED0E">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 w15:restartNumberingAfterBreak="0">
    <w:nsid w:val="330F767A"/>
    <w:multiLevelType w:val="hybridMultilevel"/>
    <w:tmpl w:val="7C5EBB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A24F91"/>
    <w:multiLevelType w:val="hybridMultilevel"/>
    <w:tmpl w:val="7C5EBBCE"/>
    <w:lvl w:ilvl="0" w:tplc="E92E47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0047B4"/>
    <w:multiLevelType w:val="hybridMultilevel"/>
    <w:tmpl w:val="5C9AEC3E"/>
    <w:lvl w:ilvl="0" w:tplc="6DF01DE0">
      <w:start w:val="1"/>
      <w:numFmt w:val="bullet"/>
      <w:lvlText w:val=""/>
      <w:lvlJc w:val="left"/>
      <w:pPr>
        <w:ind w:left="720" w:hanging="360"/>
      </w:pPr>
      <w:rPr>
        <w:rFonts w:ascii="Symbol" w:eastAsiaTheme="minorHAnsi"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E697C"/>
    <w:multiLevelType w:val="hybridMultilevel"/>
    <w:tmpl w:val="89F86BFC"/>
    <w:lvl w:ilvl="0" w:tplc="44144612">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323E54"/>
    <w:multiLevelType w:val="hybridMultilevel"/>
    <w:tmpl w:val="B7BAD1E4"/>
    <w:lvl w:ilvl="0" w:tplc="FFFFFFFF">
      <w:start w:val="1"/>
      <w:numFmt w:val="lowerLetter"/>
      <w:lvlText w:val="(%1)"/>
      <w:lvlJc w:val="left"/>
      <w:pPr>
        <w:ind w:left="3960" w:hanging="360"/>
      </w:pPr>
      <w:rPr>
        <w:rFonts w:hint="default"/>
      </w:r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9" w15:restartNumberingAfterBreak="0">
    <w:nsid w:val="78C33445"/>
    <w:multiLevelType w:val="hybridMultilevel"/>
    <w:tmpl w:val="4DE6E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0821786">
    <w:abstractNumId w:val="9"/>
  </w:num>
  <w:num w:numId="2" w16cid:durableId="691493124">
    <w:abstractNumId w:val="6"/>
  </w:num>
  <w:num w:numId="3" w16cid:durableId="1759911107">
    <w:abstractNumId w:val="7"/>
  </w:num>
  <w:num w:numId="4" w16cid:durableId="734280086">
    <w:abstractNumId w:val="1"/>
  </w:num>
  <w:num w:numId="5" w16cid:durableId="112678594">
    <w:abstractNumId w:val="3"/>
  </w:num>
  <w:num w:numId="6" w16cid:durableId="1345130783">
    <w:abstractNumId w:val="5"/>
  </w:num>
  <w:num w:numId="7" w16cid:durableId="1781027468">
    <w:abstractNumId w:val="4"/>
  </w:num>
  <w:num w:numId="8" w16cid:durableId="1370107025">
    <w:abstractNumId w:val="0"/>
  </w:num>
  <w:num w:numId="9" w16cid:durableId="1363241421">
    <w:abstractNumId w:val="8"/>
  </w:num>
  <w:num w:numId="10" w16cid:durableId="826825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96"/>
    <w:rsid w:val="0000152B"/>
    <w:rsid w:val="00001DB5"/>
    <w:rsid w:val="00001E94"/>
    <w:rsid w:val="000031A0"/>
    <w:rsid w:val="000102E6"/>
    <w:rsid w:val="00011C0F"/>
    <w:rsid w:val="00013C0B"/>
    <w:rsid w:val="00014359"/>
    <w:rsid w:val="000168D7"/>
    <w:rsid w:val="00027CCD"/>
    <w:rsid w:val="00035FCA"/>
    <w:rsid w:val="000423B6"/>
    <w:rsid w:val="0006213A"/>
    <w:rsid w:val="0006260B"/>
    <w:rsid w:val="00066FA6"/>
    <w:rsid w:val="00082FCB"/>
    <w:rsid w:val="000853F8"/>
    <w:rsid w:val="00085C60"/>
    <w:rsid w:val="00087C1B"/>
    <w:rsid w:val="00090234"/>
    <w:rsid w:val="000910FF"/>
    <w:rsid w:val="00091CE4"/>
    <w:rsid w:val="00095659"/>
    <w:rsid w:val="000A1C39"/>
    <w:rsid w:val="000D18B9"/>
    <w:rsid w:val="000D4819"/>
    <w:rsid w:val="000D4C07"/>
    <w:rsid w:val="000E04B5"/>
    <w:rsid w:val="000E092D"/>
    <w:rsid w:val="0010086B"/>
    <w:rsid w:val="00102316"/>
    <w:rsid w:val="001127C3"/>
    <w:rsid w:val="00122EE3"/>
    <w:rsid w:val="00126440"/>
    <w:rsid w:val="001328C7"/>
    <w:rsid w:val="001332FE"/>
    <w:rsid w:val="00133E3A"/>
    <w:rsid w:val="00136D10"/>
    <w:rsid w:val="00147D4B"/>
    <w:rsid w:val="0015091D"/>
    <w:rsid w:val="00161E9A"/>
    <w:rsid w:val="00163499"/>
    <w:rsid w:val="00164F6D"/>
    <w:rsid w:val="00171BCE"/>
    <w:rsid w:val="00173B48"/>
    <w:rsid w:val="00183C07"/>
    <w:rsid w:val="00186A94"/>
    <w:rsid w:val="00187DF3"/>
    <w:rsid w:val="0019007B"/>
    <w:rsid w:val="00192BBB"/>
    <w:rsid w:val="0019653B"/>
    <w:rsid w:val="001C17E3"/>
    <w:rsid w:val="001C1DEC"/>
    <w:rsid w:val="001C4B2B"/>
    <w:rsid w:val="001C6423"/>
    <w:rsid w:val="001D009E"/>
    <w:rsid w:val="001D2249"/>
    <w:rsid w:val="001E0A94"/>
    <w:rsid w:val="001E60A8"/>
    <w:rsid w:val="001F0C01"/>
    <w:rsid w:val="001F524E"/>
    <w:rsid w:val="001F60FE"/>
    <w:rsid w:val="00200AED"/>
    <w:rsid w:val="00212F31"/>
    <w:rsid w:val="002257D9"/>
    <w:rsid w:val="00241C42"/>
    <w:rsid w:val="00245A3A"/>
    <w:rsid w:val="00247D20"/>
    <w:rsid w:val="002517FD"/>
    <w:rsid w:val="002769B4"/>
    <w:rsid w:val="002814B9"/>
    <w:rsid w:val="002846B0"/>
    <w:rsid w:val="00291FE6"/>
    <w:rsid w:val="002938B5"/>
    <w:rsid w:val="00295C80"/>
    <w:rsid w:val="002A096B"/>
    <w:rsid w:val="002A2C7D"/>
    <w:rsid w:val="002A7066"/>
    <w:rsid w:val="002B2F50"/>
    <w:rsid w:val="002D5627"/>
    <w:rsid w:val="002D6850"/>
    <w:rsid w:val="002D76ED"/>
    <w:rsid w:val="002F364E"/>
    <w:rsid w:val="002F3BCF"/>
    <w:rsid w:val="00300964"/>
    <w:rsid w:val="00306856"/>
    <w:rsid w:val="00312109"/>
    <w:rsid w:val="003125D6"/>
    <w:rsid w:val="00317B11"/>
    <w:rsid w:val="00323904"/>
    <w:rsid w:val="00340989"/>
    <w:rsid w:val="003414EB"/>
    <w:rsid w:val="003607A0"/>
    <w:rsid w:val="00361B42"/>
    <w:rsid w:val="0037034B"/>
    <w:rsid w:val="003801FA"/>
    <w:rsid w:val="003825D9"/>
    <w:rsid w:val="00385538"/>
    <w:rsid w:val="00397D92"/>
    <w:rsid w:val="003A21C6"/>
    <w:rsid w:val="003A5EE2"/>
    <w:rsid w:val="003A6FEE"/>
    <w:rsid w:val="003B7425"/>
    <w:rsid w:val="003C0A65"/>
    <w:rsid w:val="003C6629"/>
    <w:rsid w:val="003D37C7"/>
    <w:rsid w:val="003D5869"/>
    <w:rsid w:val="003D77C7"/>
    <w:rsid w:val="003E1446"/>
    <w:rsid w:val="00412FA8"/>
    <w:rsid w:val="00414D5E"/>
    <w:rsid w:val="004318CD"/>
    <w:rsid w:val="00435F1F"/>
    <w:rsid w:val="00447C1F"/>
    <w:rsid w:val="0046332C"/>
    <w:rsid w:val="00467875"/>
    <w:rsid w:val="004713B9"/>
    <w:rsid w:val="004763C4"/>
    <w:rsid w:val="004809EF"/>
    <w:rsid w:val="00480AEF"/>
    <w:rsid w:val="0048592D"/>
    <w:rsid w:val="00494E23"/>
    <w:rsid w:val="004C0B7A"/>
    <w:rsid w:val="004C15F5"/>
    <w:rsid w:val="004C6ADE"/>
    <w:rsid w:val="004D7E43"/>
    <w:rsid w:val="004E1F20"/>
    <w:rsid w:val="004E7105"/>
    <w:rsid w:val="004F5880"/>
    <w:rsid w:val="005022C3"/>
    <w:rsid w:val="00502463"/>
    <w:rsid w:val="005225C5"/>
    <w:rsid w:val="005611DA"/>
    <w:rsid w:val="00561273"/>
    <w:rsid w:val="00565E89"/>
    <w:rsid w:val="00573379"/>
    <w:rsid w:val="00573EE3"/>
    <w:rsid w:val="00577219"/>
    <w:rsid w:val="0058313E"/>
    <w:rsid w:val="005867FE"/>
    <w:rsid w:val="00590E77"/>
    <w:rsid w:val="00592BD9"/>
    <w:rsid w:val="005A2F6D"/>
    <w:rsid w:val="005B358B"/>
    <w:rsid w:val="005B7092"/>
    <w:rsid w:val="005C14AF"/>
    <w:rsid w:val="005C2D8E"/>
    <w:rsid w:val="005C7B13"/>
    <w:rsid w:val="005D2312"/>
    <w:rsid w:val="005E4617"/>
    <w:rsid w:val="005E7C30"/>
    <w:rsid w:val="005F220E"/>
    <w:rsid w:val="006071EE"/>
    <w:rsid w:val="00616222"/>
    <w:rsid w:val="00631160"/>
    <w:rsid w:val="00636ED7"/>
    <w:rsid w:val="006438E8"/>
    <w:rsid w:val="00645C1E"/>
    <w:rsid w:val="006548BF"/>
    <w:rsid w:val="006605A9"/>
    <w:rsid w:val="0066238D"/>
    <w:rsid w:val="0066363C"/>
    <w:rsid w:val="00667199"/>
    <w:rsid w:val="0069232F"/>
    <w:rsid w:val="006A0F4F"/>
    <w:rsid w:val="006B5D40"/>
    <w:rsid w:val="006B7A18"/>
    <w:rsid w:val="006B7F86"/>
    <w:rsid w:val="006D3A62"/>
    <w:rsid w:val="006D67BC"/>
    <w:rsid w:val="006D6C0B"/>
    <w:rsid w:val="006F1D52"/>
    <w:rsid w:val="00700E1D"/>
    <w:rsid w:val="00701EF4"/>
    <w:rsid w:val="00705026"/>
    <w:rsid w:val="0071751A"/>
    <w:rsid w:val="00717DF5"/>
    <w:rsid w:val="007203F2"/>
    <w:rsid w:val="00724DD7"/>
    <w:rsid w:val="0072784F"/>
    <w:rsid w:val="007308CD"/>
    <w:rsid w:val="0073651E"/>
    <w:rsid w:val="00737384"/>
    <w:rsid w:val="007447FD"/>
    <w:rsid w:val="0075419D"/>
    <w:rsid w:val="00761B60"/>
    <w:rsid w:val="00763E42"/>
    <w:rsid w:val="00767504"/>
    <w:rsid w:val="0078022A"/>
    <w:rsid w:val="007807EB"/>
    <w:rsid w:val="0078099E"/>
    <w:rsid w:val="00783229"/>
    <w:rsid w:val="007862E6"/>
    <w:rsid w:val="00796801"/>
    <w:rsid w:val="007A1F6D"/>
    <w:rsid w:val="007A4BAB"/>
    <w:rsid w:val="007C2C07"/>
    <w:rsid w:val="007C607F"/>
    <w:rsid w:val="007D596B"/>
    <w:rsid w:val="007D6283"/>
    <w:rsid w:val="007E0000"/>
    <w:rsid w:val="007E0A5F"/>
    <w:rsid w:val="007E263F"/>
    <w:rsid w:val="007E4959"/>
    <w:rsid w:val="007F0BED"/>
    <w:rsid w:val="00800C68"/>
    <w:rsid w:val="00805D90"/>
    <w:rsid w:val="0081090C"/>
    <w:rsid w:val="0082120E"/>
    <w:rsid w:val="00824F5A"/>
    <w:rsid w:val="00843FB4"/>
    <w:rsid w:val="00847E42"/>
    <w:rsid w:val="00850699"/>
    <w:rsid w:val="008534B8"/>
    <w:rsid w:val="0085416C"/>
    <w:rsid w:val="00854837"/>
    <w:rsid w:val="008601A2"/>
    <w:rsid w:val="00872078"/>
    <w:rsid w:val="00877E6E"/>
    <w:rsid w:val="00877F91"/>
    <w:rsid w:val="00881677"/>
    <w:rsid w:val="00890FA9"/>
    <w:rsid w:val="008928E8"/>
    <w:rsid w:val="00893387"/>
    <w:rsid w:val="00895F90"/>
    <w:rsid w:val="008A2485"/>
    <w:rsid w:val="008A4879"/>
    <w:rsid w:val="008A5C74"/>
    <w:rsid w:val="008B1FA2"/>
    <w:rsid w:val="008C58B2"/>
    <w:rsid w:val="008C5F61"/>
    <w:rsid w:val="008C759A"/>
    <w:rsid w:val="008C75EC"/>
    <w:rsid w:val="008C7957"/>
    <w:rsid w:val="008D406C"/>
    <w:rsid w:val="008E1C89"/>
    <w:rsid w:val="008E5FA7"/>
    <w:rsid w:val="008F3282"/>
    <w:rsid w:val="008F4FE6"/>
    <w:rsid w:val="008F7143"/>
    <w:rsid w:val="0090096E"/>
    <w:rsid w:val="00910782"/>
    <w:rsid w:val="00910953"/>
    <w:rsid w:val="0092413B"/>
    <w:rsid w:val="009260F5"/>
    <w:rsid w:val="009274A4"/>
    <w:rsid w:val="009321B4"/>
    <w:rsid w:val="00936BBA"/>
    <w:rsid w:val="00942824"/>
    <w:rsid w:val="00943DEE"/>
    <w:rsid w:val="009472D4"/>
    <w:rsid w:val="00952174"/>
    <w:rsid w:val="009533C1"/>
    <w:rsid w:val="00962573"/>
    <w:rsid w:val="00964262"/>
    <w:rsid w:val="0096485C"/>
    <w:rsid w:val="0098409E"/>
    <w:rsid w:val="009841E3"/>
    <w:rsid w:val="00985CAA"/>
    <w:rsid w:val="00987A60"/>
    <w:rsid w:val="009A31AE"/>
    <w:rsid w:val="009A4467"/>
    <w:rsid w:val="009A5EC0"/>
    <w:rsid w:val="009A6905"/>
    <w:rsid w:val="009B143E"/>
    <w:rsid w:val="009C0172"/>
    <w:rsid w:val="009C01AD"/>
    <w:rsid w:val="009C2F29"/>
    <w:rsid w:val="009D57F2"/>
    <w:rsid w:val="009F20A7"/>
    <w:rsid w:val="009F68FC"/>
    <w:rsid w:val="00A2390D"/>
    <w:rsid w:val="00A24792"/>
    <w:rsid w:val="00A24EA4"/>
    <w:rsid w:val="00A27679"/>
    <w:rsid w:val="00A404F6"/>
    <w:rsid w:val="00A4213E"/>
    <w:rsid w:val="00A421F0"/>
    <w:rsid w:val="00A4301C"/>
    <w:rsid w:val="00A464D2"/>
    <w:rsid w:val="00A47164"/>
    <w:rsid w:val="00A5208A"/>
    <w:rsid w:val="00A56AD0"/>
    <w:rsid w:val="00A76D0A"/>
    <w:rsid w:val="00A83D1D"/>
    <w:rsid w:val="00A87A81"/>
    <w:rsid w:val="00A90CFB"/>
    <w:rsid w:val="00A964E4"/>
    <w:rsid w:val="00AB6185"/>
    <w:rsid w:val="00AD785B"/>
    <w:rsid w:val="00AE08C4"/>
    <w:rsid w:val="00AE30DD"/>
    <w:rsid w:val="00AE5F22"/>
    <w:rsid w:val="00AF01E5"/>
    <w:rsid w:val="00B01ED0"/>
    <w:rsid w:val="00B14802"/>
    <w:rsid w:val="00B22505"/>
    <w:rsid w:val="00B2268A"/>
    <w:rsid w:val="00B34334"/>
    <w:rsid w:val="00B57244"/>
    <w:rsid w:val="00B623DE"/>
    <w:rsid w:val="00B62DF8"/>
    <w:rsid w:val="00B674DC"/>
    <w:rsid w:val="00B70AAD"/>
    <w:rsid w:val="00B82487"/>
    <w:rsid w:val="00B82B18"/>
    <w:rsid w:val="00B84DB9"/>
    <w:rsid w:val="00B90C58"/>
    <w:rsid w:val="00B91476"/>
    <w:rsid w:val="00B9320B"/>
    <w:rsid w:val="00B949E4"/>
    <w:rsid w:val="00B96075"/>
    <w:rsid w:val="00BA2C52"/>
    <w:rsid w:val="00BA56FB"/>
    <w:rsid w:val="00BA7CA4"/>
    <w:rsid w:val="00BB4AA2"/>
    <w:rsid w:val="00BC593F"/>
    <w:rsid w:val="00BD0B23"/>
    <w:rsid w:val="00BD1342"/>
    <w:rsid w:val="00BD2BBA"/>
    <w:rsid w:val="00BE75C1"/>
    <w:rsid w:val="00BF01A0"/>
    <w:rsid w:val="00C049BD"/>
    <w:rsid w:val="00C11D6B"/>
    <w:rsid w:val="00C12225"/>
    <w:rsid w:val="00C40897"/>
    <w:rsid w:val="00C4171B"/>
    <w:rsid w:val="00C4585F"/>
    <w:rsid w:val="00C52C30"/>
    <w:rsid w:val="00C543AC"/>
    <w:rsid w:val="00C6195A"/>
    <w:rsid w:val="00C63248"/>
    <w:rsid w:val="00C63529"/>
    <w:rsid w:val="00C729BC"/>
    <w:rsid w:val="00C76CC2"/>
    <w:rsid w:val="00C80D3D"/>
    <w:rsid w:val="00CA0042"/>
    <w:rsid w:val="00CB2807"/>
    <w:rsid w:val="00CC3F94"/>
    <w:rsid w:val="00CC567B"/>
    <w:rsid w:val="00CE62B5"/>
    <w:rsid w:val="00CF1FCF"/>
    <w:rsid w:val="00CF5683"/>
    <w:rsid w:val="00D00642"/>
    <w:rsid w:val="00D00A13"/>
    <w:rsid w:val="00D0376D"/>
    <w:rsid w:val="00D079F4"/>
    <w:rsid w:val="00D103B7"/>
    <w:rsid w:val="00D308E8"/>
    <w:rsid w:val="00D33D43"/>
    <w:rsid w:val="00D41B83"/>
    <w:rsid w:val="00D4391A"/>
    <w:rsid w:val="00D43E64"/>
    <w:rsid w:val="00D4636E"/>
    <w:rsid w:val="00D526D2"/>
    <w:rsid w:val="00D60F09"/>
    <w:rsid w:val="00D656E9"/>
    <w:rsid w:val="00D66A9C"/>
    <w:rsid w:val="00D70A56"/>
    <w:rsid w:val="00D7724A"/>
    <w:rsid w:val="00D84696"/>
    <w:rsid w:val="00D84E6D"/>
    <w:rsid w:val="00D96471"/>
    <w:rsid w:val="00D97C84"/>
    <w:rsid w:val="00DA3022"/>
    <w:rsid w:val="00DA31B7"/>
    <w:rsid w:val="00DB427D"/>
    <w:rsid w:val="00DB5989"/>
    <w:rsid w:val="00DC2DE2"/>
    <w:rsid w:val="00DC37A3"/>
    <w:rsid w:val="00DD6AF6"/>
    <w:rsid w:val="00DE0F9E"/>
    <w:rsid w:val="00DE6EFA"/>
    <w:rsid w:val="00DF47D1"/>
    <w:rsid w:val="00E01A4D"/>
    <w:rsid w:val="00E177CA"/>
    <w:rsid w:val="00E22852"/>
    <w:rsid w:val="00E32A24"/>
    <w:rsid w:val="00E35AE0"/>
    <w:rsid w:val="00E35B78"/>
    <w:rsid w:val="00E475B5"/>
    <w:rsid w:val="00E5393D"/>
    <w:rsid w:val="00E55819"/>
    <w:rsid w:val="00E6204F"/>
    <w:rsid w:val="00E620BA"/>
    <w:rsid w:val="00E674C2"/>
    <w:rsid w:val="00E710E7"/>
    <w:rsid w:val="00E77699"/>
    <w:rsid w:val="00E84E95"/>
    <w:rsid w:val="00E85677"/>
    <w:rsid w:val="00E95700"/>
    <w:rsid w:val="00EA1208"/>
    <w:rsid w:val="00EA16E7"/>
    <w:rsid w:val="00EA4089"/>
    <w:rsid w:val="00EA7FEB"/>
    <w:rsid w:val="00EB6F67"/>
    <w:rsid w:val="00EB7821"/>
    <w:rsid w:val="00EC1842"/>
    <w:rsid w:val="00EE311F"/>
    <w:rsid w:val="00EE3DF5"/>
    <w:rsid w:val="00EE71B3"/>
    <w:rsid w:val="00F05820"/>
    <w:rsid w:val="00F072BC"/>
    <w:rsid w:val="00F1481F"/>
    <w:rsid w:val="00F3136D"/>
    <w:rsid w:val="00F434CE"/>
    <w:rsid w:val="00F463E5"/>
    <w:rsid w:val="00F625F7"/>
    <w:rsid w:val="00F62FE9"/>
    <w:rsid w:val="00F63595"/>
    <w:rsid w:val="00F80596"/>
    <w:rsid w:val="00F8447D"/>
    <w:rsid w:val="00F85C7A"/>
    <w:rsid w:val="00F90D53"/>
    <w:rsid w:val="00F96997"/>
    <w:rsid w:val="00FA1319"/>
    <w:rsid w:val="00FA35F1"/>
    <w:rsid w:val="00FA68AF"/>
    <w:rsid w:val="00FB3D61"/>
    <w:rsid w:val="00FC03E0"/>
    <w:rsid w:val="00FC0C4D"/>
    <w:rsid w:val="00FC0DD4"/>
    <w:rsid w:val="00FC1DE3"/>
    <w:rsid w:val="00FC344C"/>
    <w:rsid w:val="00FC63C7"/>
    <w:rsid w:val="00FD14BD"/>
    <w:rsid w:val="00FE00D4"/>
    <w:rsid w:val="00FE551B"/>
    <w:rsid w:val="00FE68CA"/>
    <w:rsid w:val="00FE7E9F"/>
    <w:rsid w:val="00FF7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435F"/>
  <w15:chartTrackingRefBased/>
  <w15:docId w15:val="{CECE797A-CAB6-4482-A03F-F5E770DA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05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05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05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05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05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05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05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05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05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5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05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05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05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05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05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05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05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0596"/>
    <w:rPr>
      <w:rFonts w:eastAsiaTheme="majorEastAsia" w:cstheme="majorBidi"/>
      <w:color w:val="272727" w:themeColor="text1" w:themeTint="D8"/>
    </w:rPr>
  </w:style>
  <w:style w:type="paragraph" w:styleId="Title">
    <w:name w:val="Title"/>
    <w:basedOn w:val="Normal"/>
    <w:next w:val="Normal"/>
    <w:link w:val="TitleChar"/>
    <w:uiPriority w:val="10"/>
    <w:qFormat/>
    <w:rsid w:val="00F805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5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05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05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0596"/>
    <w:pPr>
      <w:spacing w:before="160"/>
      <w:jc w:val="center"/>
    </w:pPr>
    <w:rPr>
      <w:i/>
      <w:iCs/>
      <w:color w:val="404040" w:themeColor="text1" w:themeTint="BF"/>
    </w:rPr>
  </w:style>
  <w:style w:type="character" w:customStyle="1" w:styleId="QuoteChar">
    <w:name w:val="Quote Char"/>
    <w:basedOn w:val="DefaultParagraphFont"/>
    <w:link w:val="Quote"/>
    <w:uiPriority w:val="29"/>
    <w:rsid w:val="00F80596"/>
    <w:rPr>
      <w:i/>
      <w:iCs/>
      <w:color w:val="404040" w:themeColor="text1" w:themeTint="BF"/>
    </w:rPr>
  </w:style>
  <w:style w:type="paragraph" w:styleId="ListParagraph">
    <w:name w:val="List Paragraph"/>
    <w:basedOn w:val="Normal"/>
    <w:uiPriority w:val="34"/>
    <w:qFormat/>
    <w:rsid w:val="00F80596"/>
    <w:pPr>
      <w:ind w:left="720"/>
      <w:contextualSpacing/>
    </w:pPr>
  </w:style>
  <w:style w:type="character" w:styleId="IntenseEmphasis">
    <w:name w:val="Intense Emphasis"/>
    <w:basedOn w:val="DefaultParagraphFont"/>
    <w:uiPriority w:val="21"/>
    <w:qFormat/>
    <w:rsid w:val="00F80596"/>
    <w:rPr>
      <w:i/>
      <w:iCs/>
      <w:color w:val="0F4761" w:themeColor="accent1" w:themeShade="BF"/>
    </w:rPr>
  </w:style>
  <w:style w:type="paragraph" w:styleId="IntenseQuote">
    <w:name w:val="Intense Quote"/>
    <w:basedOn w:val="Normal"/>
    <w:next w:val="Normal"/>
    <w:link w:val="IntenseQuoteChar"/>
    <w:uiPriority w:val="30"/>
    <w:qFormat/>
    <w:rsid w:val="00F805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0596"/>
    <w:rPr>
      <w:i/>
      <w:iCs/>
      <w:color w:val="0F4761" w:themeColor="accent1" w:themeShade="BF"/>
    </w:rPr>
  </w:style>
  <w:style w:type="character" w:styleId="IntenseReference">
    <w:name w:val="Intense Reference"/>
    <w:basedOn w:val="DefaultParagraphFont"/>
    <w:uiPriority w:val="32"/>
    <w:qFormat/>
    <w:rsid w:val="00F80596"/>
    <w:rPr>
      <w:b/>
      <w:bCs/>
      <w:smallCaps/>
      <w:color w:val="0F4761" w:themeColor="accent1" w:themeShade="BF"/>
      <w:spacing w:val="5"/>
    </w:rPr>
  </w:style>
  <w:style w:type="character" w:customStyle="1" w:styleId="Hyperlink1">
    <w:name w:val="Hyperlink1"/>
    <w:basedOn w:val="DefaultParagraphFont"/>
    <w:uiPriority w:val="99"/>
    <w:unhideWhenUsed/>
    <w:rsid w:val="00F80596"/>
    <w:rPr>
      <w:color w:val="0563C1"/>
      <w:u w:val="single"/>
    </w:rPr>
  </w:style>
  <w:style w:type="character" w:styleId="FootnoteReference">
    <w:name w:val="footnote reference"/>
    <w:basedOn w:val="DefaultParagraphFont"/>
    <w:uiPriority w:val="99"/>
    <w:unhideWhenUsed/>
    <w:rsid w:val="00F80596"/>
    <w:rPr>
      <w:vertAlign w:val="superscript"/>
    </w:rPr>
  </w:style>
  <w:style w:type="character" w:styleId="Hyperlink">
    <w:name w:val="Hyperlink"/>
    <w:basedOn w:val="DefaultParagraphFont"/>
    <w:uiPriority w:val="99"/>
    <w:unhideWhenUsed/>
    <w:rsid w:val="00F80596"/>
    <w:rPr>
      <w:color w:val="467886" w:themeColor="hyperlink"/>
      <w:u w:val="single"/>
    </w:rPr>
  </w:style>
  <w:style w:type="paragraph" w:customStyle="1" w:styleId="Default">
    <w:name w:val="Default"/>
    <w:rsid w:val="00942824"/>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1D0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09E"/>
  </w:style>
  <w:style w:type="paragraph" w:styleId="Footer">
    <w:name w:val="footer"/>
    <w:basedOn w:val="Normal"/>
    <w:link w:val="FooterChar"/>
    <w:uiPriority w:val="99"/>
    <w:unhideWhenUsed/>
    <w:rsid w:val="001D0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09E"/>
  </w:style>
  <w:style w:type="paragraph" w:styleId="FootnoteText">
    <w:name w:val="footnote text"/>
    <w:basedOn w:val="Normal"/>
    <w:link w:val="FootnoteTextChar"/>
    <w:uiPriority w:val="99"/>
    <w:semiHidden/>
    <w:unhideWhenUsed/>
    <w:rsid w:val="00FE00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00D4"/>
    <w:rPr>
      <w:sz w:val="20"/>
      <w:szCs w:val="20"/>
    </w:rPr>
  </w:style>
  <w:style w:type="character" w:styleId="PlaceholderText">
    <w:name w:val="Placeholder Text"/>
    <w:basedOn w:val="DefaultParagraphFont"/>
    <w:uiPriority w:val="99"/>
    <w:semiHidden/>
    <w:rsid w:val="005B7092"/>
    <w:rPr>
      <w:color w:val="666666"/>
    </w:rPr>
  </w:style>
  <w:style w:type="character" w:styleId="CommentReference">
    <w:name w:val="annotation reference"/>
    <w:basedOn w:val="DefaultParagraphFont"/>
    <w:uiPriority w:val="99"/>
    <w:semiHidden/>
    <w:unhideWhenUsed/>
    <w:rsid w:val="008C5F61"/>
    <w:rPr>
      <w:sz w:val="16"/>
      <w:szCs w:val="16"/>
    </w:rPr>
  </w:style>
  <w:style w:type="paragraph" w:styleId="CommentText">
    <w:name w:val="annotation text"/>
    <w:basedOn w:val="Normal"/>
    <w:link w:val="CommentTextChar"/>
    <w:uiPriority w:val="99"/>
    <w:unhideWhenUsed/>
    <w:rsid w:val="008C5F61"/>
    <w:pPr>
      <w:spacing w:line="240" w:lineRule="auto"/>
    </w:pPr>
    <w:rPr>
      <w:sz w:val="20"/>
      <w:szCs w:val="20"/>
    </w:rPr>
  </w:style>
  <w:style w:type="character" w:customStyle="1" w:styleId="CommentTextChar">
    <w:name w:val="Comment Text Char"/>
    <w:basedOn w:val="DefaultParagraphFont"/>
    <w:link w:val="CommentText"/>
    <w:uiPriority w:val="99"/>
    <w:rsid w:val="008C5F61"/>
    <w:rPr>
      <w:sz w:val="20"/>
      <w:szCs w:val="20"/>
    </w:rPr>
  </w:style>
  <w:style w:type="paragraph" w:styleId="CommentSubject">
    <w:name w:val="annotation subject"/>
    <w:basedOn w:val="CommentText"/>
    <w:next w:val="CommentText"/>
    <w:link w:val="CommentSubjectChar"/>
    <w:uiPriority w:val="99"/>
    <w:semiHidden/>
    <w:unhideWhenUsed/>
    <w:rsid w:val="008C5F61"/>
    <w:rPr>
      <w:b/>
      <w:bCs/>
    </w:rPr>
  </w:style>
  <w:style w:type="character" w:customStyle="1" w:styleId="CommentSubjectChar">
    <w:name w:val="Comment Subject Char"/>
    <w:basedOn w:val="CommentTextChar"/>
    <w:link w:val="CommentSubject"/>
    <w:uiPriority w:val="99"/>
    <w:semiHidden/>
    <w:rsid w:val="008C5F61"/>
    <w:rPr>
      <w:b/>
      <w:bCs/>
      <w:sz w:val="20"/>
      <w:szCs w:val="20"/>
    </w:rPr>
  </w:style>
  <w:style w:type="character" w:styleId="Strong">
    <w:name w:val="Strong"/>
    <w:basedOn w:val="DefaultParagraphFont"/>
    <w:uiPriority w:val="22"/>
    <w:qFormat/>
    <w:rsid w:val="0081090C"/>
    <w:rPr>
      <w:b/>
      <w:bCs/>
    </w:rPr>
  </w:style>
  <w:style w:type="character" w:styleId="Emphasis">
    <w:name w:val="Emphasis"/>
    <w:basedOn w:val="DefaultParagraphFont"/>
    <w:uiPriority w:val="20"/>
    <w:qFormat/>
    <w:rsid w:val="0081090C"/>
    <w:rPr>
      <w:i/>
      <w:iCs/>
    </w:rPr>
  </w:style>
  <w:style w:type="character" w:styleId="UnresolvedMention">
    <w:name w:val="Unresolved Mention"/>
    <w:basedOn w:val="DefaultParagraphFont"/>
    <w:uiPriority w:val="99"/>
    <w:semiHidden/>
    <w:unhideWhenUsed/>
    <w:rsid w:val="00810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56299">
      <w:bodyDiv w:val="1"/>
      <w:marLeft w:val="0"/>
      <w:marRight w:val="0"/>
      <w:marTop w:val="0"/>
      <w:marBottom w:val="0"/>
      <w:divBdr>
        <w:top w:val="none" w:sz="0" w:space="0" w:color="auto"/>
        <w:left w:val="none" w:sz="0" w:space="0" w:color="auto"/>
        <w:bottom w:val="none" w:sz="0" w:space="0" w:color="auto"/>
        <w:right w:val="none" w:sz="0" w:space="0" w:color="auto"/>
      </w:divBdr>
    </w:div>
    <w:div w:id="498735321">
      <w:bodyDiv w:val="1"/>
      <w:marLeft w:val="0"/>
      <w:marRight w:val="0"/>
      <w:marTop w:val="0"/>
      <w:marBottom w:val="0"/>
      <w:divBdr>
        <w:top w:val="none" w:sz="0" w:space="0" w:color="auto"/>
        <w:left w:val="none" w:sz="0" w:space="0" w:color="auto"/>
        <w:bottom w:val="none" w:sz="0" w:space="0" w:color="auto"/>
        <w:right w:val="none" w:sz="0" w:space="0" w:color="auto"/>
      </w:divBdr>
    </w:div>
    <w:div w:id="792022496">
      <w:bodyDiv w:val="1"/>
      <w:marLeft w:val="0"/>
      <w:marRight w:val="0"/>
      <w:marTop w:val="0"/>
      <w:marBottom w:val="0"/>
      <w:divBdr>
        <w:top w:val="none" w:sz="0" w:space="0" w:color="auto"/>
        <w:left w:val="none" w:sz="0" w:space="0" w:color="auto"/>
        <w:bottom w:val="none" w:sz="0" w:space="0" w:color="auto"/>
        <w:right w:val="none" w:sz="0" w:space="0" w:color="auto"/>
      </w:divBdr>
      <w:divsChild>
        <w:div w:id="870847928">
          <w:marLeft w:val="0"/>
          <w:marRight w:val="0"/>
          <w:marTop w:val="0"/>
          <w:marBottom w:val="0"/>
          <w:divBdr>
            <w:top w:val="none" w:sz="0" w:space="0" w:color="auto"/>
            <w:left w:val="none" w:sz="0" w:space="0" w:color="auto"/>
            <w:bottom w:val="none" w:sz="0" w:space="0" w:color="auto"/>
            <w:right w:val="none" w:sz="0" w:space="0" w:color="auto"/>
          </w:divBdr>
          <w:divsChild>
            <w:div w:id="1952321942">
              <w:marLeft w:val="0"/>
              <w:marRight w:val="0"/>
              <w:marTop w:val="0"/>
              <w:marBottom w:val="0"/>
              <w:divBdr>
                <w:top w:val="none" w:sz="0" w:space="0" w:color="auto"/>
                <w:left w:val="none" w:sz="0" w:space="0" w:color="auto"/>
                <w:bottom w:val="none" w:sz="0" w:space="0" w:color="auto"/>
                <w:right w:val="none" w:sz="0" w:space="0" w:color="auto"/>
              </w:divBdr>
              <w:divsChild>
                <w:div w:id="1224753383">
                  <w:marLeft w:val="0"/>
                  <w:marRight w:val="0"/>
                  <w:marTop w:val="0"/>
                  <w:marBottom w:val="0"/>
                  <w:divBdr>
                    <w:top w:val="none" w:sz="0" w:space="0" w:color="auto"/>
                    <w:left w:val="none" w:sz="0" w:space="0" w:color="auto"/>
                    <w:bottom w:val="none" w:sz="0" w:space="0" w:color="auto"/>
                    <w:right w:val="none" w:sz="0" w:space="0" w:color="auto"/>
                  </w:divBdr>
                  <w:divsChild>
                    <w:div w:id="1675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02413">
          <w:marLeft w:val="0"/>
          <w:marRight w:val="0"/>
          <w:marTop w:val="0"/>
          <w:marBottom w:val="0"/>
          <w:divBdr>
            <w:top w:val="none" w:sz="0" w:space="0" w:color="auto"/>
            <w:left w:val="none" w:sz="0" w:space="0" w:color="auto"/>
            <w:bottom w:val="none" w:sz="0" w:space="0" w:color="auto"/>
            <w:right w:val="none" w:sz="0" w:space="0" w:color="auto"/>
          </w:divBdr>
          <w:divsChild>
            <w:div w:id="940257878">
              <w:marLeft w:val="0"/>
              <w:marRight w:val="0"/>
              <w:marTop w:val="0"/>
              <w:marBottom w:val="0"/>
              <w:divBdr>
                <w:top w:val="none" w:sz="0" w:space="0" w:color="auto"/>
                <w:left w:val="none" w:sz="0" w:space="0" w:color="auto"/>
                <w:bottom w:val="none" w:sz="0" w:space="0" w:color="auto"/>
                <w:right w:val="none" w:sz="0" w:space="0" w:color="auto"/>
              </w:divBdr>
              <w:divsChild>
                <w:div w:id="1902783763">
                  <w:marLeft w:val="0"/>
                  <w:marRight w:val="0"/>
                  <w:marTop w:val="0"/>
                  <w:marBottom w:val="0"/>
                  <w:divBdr>
                    <w:top w:val="none" w:sz="0" w:space="0" w:color="auto"/>
                    <w:left w:val="none" w:sz="0" w:space="0" w:color="auto"/>
                    <w:bottom w:val="none" w:sz="0" w:space="0" w:color="auto"/>
                    <w:right w:val="none" w:sz="0" w:space="0" w:color="auto"/>
                  </w:divBdr>
                  <w:divsChild>
                    <w:div w:id="118550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998171">
      <w:bodyDiv w:val="1"/>
      <w:marLeft w:val="0"/>
      <w:marRight w:val="0"/>
      <w:marTop w:val="0"/>
      <w:marBottom w:val="0"/>
      <w:divBdr>
        <w:top w:val="none" w:sz="0" w:space="0" w:color="auto"/>
        <w:left w:val="none" w:sz="0" w:space="0" w:color="auto"/>
        <w:bottom w:val="none" w:sz="0" w:space="0" w:color="auto"/>
        <w:right w:val="none" w:sz="0" w:space="0" w:color="auto"/>
      </w:divBdr>
    </w:div>
    <w:div w:id="1628197117">
      <w:bodyDiv w:val="1"/>
      <w:marLeft w:val="0"/>
      <w:marRight w:val="0"/>
      <w:marTop w:val="0"/>
      <w:marBottom w:val="0"/>
      <w:divBdr>
        <w:top w:val="none" w:sz="0" w:space="0" w:color="auto"/>
        <w:left w:val="none" w:sz="0" w:space="0" w:color="auto"/>
        <w:bottom w:val="none" w:sz="0" w:space="0" w:color="auto"/>
        <w:right w:val="none" w:sz="0" w:space="0" w:color="auto"/>
      </w:divBdr>
    </w:div>
    <w:div w:id="1731611079">
      <w:bodyDiv w:val="1"/>
      <w:marLeft w:val="0"/>
      <w:marRight w:val="0"/>
      <w:marTop w:val="0"/>
      <w:marBottom w:val="0"/>
      <w:divBdr>
        <w:top w:val="none" w:sz="0" w:space="0" w:color="auto"/>
        <w:left w:val="none" w:sz="0" w:space="0" w:color="auto"/>
        <w:bottom w:val="none" w:sz="0" w:space="0" w:color="auto"/>
        <w:right w:val="none" w:sz="0" w:space="0" w:color="auto"/>
      </w:divBdr>
      <w:divsChild>
        <w:div w:id="1965963381">
          <w:marLeft w:val="0"/>
          <w:marRight w:val="0"/>
          <w:marTop w:val="0"/>
          <w:marBottom w:val="0"/>
          <w:divBdr>
            <w:top w:val="none" w:sz="0" w:space="0" w:color="auto"/>
            <w:left w:val="none" w:sz="0" w:space="0" w:color="auto"/>
            <w:bottom w:val="none" w:sz="0" w:space="0" w:color="auto"/>
            <w:right w:val="none" w:sz="0" w:space="0" w:color="auto"/>
          </w:divBdr>
        </w:div>
        <w:div w:id="1791246139">
          <w:marLeft w:val="0"/>
          <w:marRight w:val="0"/>
          <w:marTop w:val="0"/>
          <w:marBottom w:val="0"/>
          <w:divBdr>
            <w:top w:val="none" w:sz="0" w:space="0" w:color="auto"/>
            <w:left w:val="none" w:sz="0" w:space="0" w:color="auto"/>
            <w:bottom w:val="none" w:sz="0" w:space="0" w:color="auto"/>
            <w:right w:val="none" w:sz="0" w:space="0" w:color="auto"/>
          </w:divBdr>
          <w:divsChild>
            <w:div w:id="21977804">
              <w:marLeft w:val="0"/>
              <w:marRight w:val="0"/>
              <w:marTop w:val="120"/>
              <w:marBottom w:val="0"/>
              <w:divBdr>
                <w:top w:val="none" w:sz="0" w:space="0" w:color="auto"/>
                <w:left w:val="none" w:sz="0" w:space="0" w:color="auto"/>
                <w:bottom w:val="none" w:sz="0" w:space="0" w:color="auto"/>
                <w:right w:val="none" w:sz="0" w:space="0" w:color="auto"/>
              </w:divBdr>
              <w:divsChild>
                <w:div w:id="1187644454">
                  <w:marLeft w:val="0"/>
                  <w:marRight w:val="0"/>
                  <w:marTop w:val="0"/>
                  <w:marBottom w:val="0"/>
                  <w:divBdr>
                    <w:top w:val="none" w:sz="0" w:space="0" w:color="auto"/>
                    <w:left w:val="none" w:sz="0" w:space="0" w:color="auto"/>
                    <w:bottom w:val="none" w:sz="0" w:space="0" w:color="auto"/>
                    <w:right w:val="none" w:sz="0" w:space="0" w:color="auto"/>
                  </w:divBdr>
                  <w:divsChild>
                    <w:div w:id="43650216">
                      <w:marLeft w:val="0"/>
                      <w:marRight w:val="0"/>
                      <w:marTop w:val="0"/>
                      <w:marBottom w:val="0"/>
                      <w:divBdr>
                        <w:top w:val="none" w:sz="0" w:space="0" w:color="auto"/>
                        <w:left w:val="none" w:sz="0" w:space="0" w:color="auto"/>
                        <w:bottom w:val="none" w:sz="0" w:space="0" w:color="auto"/>
                        <w:right w:val="none" w:sz="0" w:space="0" w:color="auto"/>
                      </w:divBdr>
                    </w:div>
                    <w:div w:id="163208904">
                      <w:marLeft w:val="0"/>
                      <w:marRight w:val="0"/>
                      <w:marTop w:val="0"/>
                      <w:marBottom w:val="0"/>
                      <w:divBdr>
                        <w:top w:val="none" w:sz="0" w:space="0" w:color="auto"/>
                        <w:left w:val="none" w:sz="0" w:space="0" w:color="auto"/>
                        <w:bottom w:val="none" w:sz="0" w:space="0" w:color="auto"/>
                        <w:right w:val="none" w:sz="0" w:space="0" w:color="auto"/>
                      </w:divBdr>
                    </w:div>
                  </w:divsChild>
                </w:div>
                <w:div w:id="936905864">
                  <w:marLeft w:val="0"/>
                  <w:marRight w:val="0"/>
                  <w:marTop w:val="0"/>
                  <w:marBottom w:val="0"/>
                  <w:divBdr>
                    <w:top w:val="none" w:sz="0" w:space="0" w:color="auto"/>
                    <w:left w:val="none" w:sz="0" w:space="0" w:color="auto"/>
                    <w:bottom w:val="none" w:sz="0" w:space="0" w:color="auto"/>
                    <w:right w:val="none" w:sz="0" w:space="0" w:color="auto"/>
                  </w:divBdr>
                  <w:divsChild>
                    <w:div w:id="470949691">
                      <w:marLeft w:val="0"/>
                      <w:marRight w:val="0"/>
                      <w:marTop w:val="0"/>
                      <w:marBottom w:val="0"/>
                      <w:divBdr>
                        <w:top w:val="none" w:sz="0" w:space="0" w:color="auto"/>
                        <w:left w:val="none" w:sz="0" w:space="0" w:color="auto"/>
                        <w:bottom w:val="none" w:sz="0" w:space="0" w:color="auto"/>
                        <w:right w:val="none" w:sz="0" w:space="0" w:color="auto"/>
                      </w:divBdr>
                    </w:div>
                    <w:div w:id="650989528">
                      <w:marLeft w:val="0"/>
                      <w:marRight w:val="0"/>
                      <w:marTop w:val="0"/>
                      <w:marBottom w:val="0"/>
                      <w:divBdr>
                        <w:top w:val="none" w:sz="0" w:space="0" w:color="auto"/>
                        <w:left w:val="none" w:sz="0" w:space="0" w:color="auto"/>
                        <w:bottom w:val="none" w:sz="0" w:space="0" w:color="auto"/>
                        <w:right w:val="none" w:sz="0" w:space="0" w:color="auto"/>
                      </w:divBdr>
                    </w:div>
                  </w:divsChild>
                </w:div>
                <w:div w:id="281573939">
                  <w:marLeft w:val="0"/>
                  <w:marRight w:val="0"/>
                  <w:marTop w:val="0"/>
                  <w:marBottom w:val="0"/>
                  <w:divBdr>
                    <w:top w:val="none" w:sz="0" w:space="0" w:color="auto"/>
                    <w:left w:val="none" w:sz="0" w:space="0" w:color="auto"/>
                    <w:bottom w:val="none" w:sz="0" w:space="0" w:color="auto"/>
                    <w:right w:val="none" w:sz="0" w:space="0" w:color="auto"/>
                  </w:divBdr>
                  <w:divsChild>
                    <w:div w:id="1079984855">
                      <w:marLeft w:val="0"/>
                      <w:marRight w:val="0"/>
                      <w:marTop w:val="0"/>
                      <w:marBottom w:val="0"/>
                      <w:divBdr>
                        <w:top w:val="none" w:sz="0" w:space="0" w:color="auto"/>
                        <w:left w:val="none" w:sz="0" w:space="0" w:color="auto"/>
                        <w:bottom w:val="none" w:sz="0" w:space="0" w:color="auto"/>
                        <w:right w:val="none" w:sz="0" w:space="0" w:color="auto"/>
                      </w:divBdr>
                    </w:div>
                    <w:div w:id="1553693321">
                      <w:marLeft w:val="0"/>
                      <w:marRight w:val="0"/>
                      <w:marTop w:val="0"/>
                      <w:marBottom w:val="0"/>
                      <w:divBdr>
                        <w:top w:val="none" w:sz="0" w:space="0" w:color="auto"/>
                        <w:left w:val="none" w:sz="0" w:space="0" w:color="auto"/>
                        <w:bottom w:val="none" w:sz="0" w:space="0" w:color="auto"/>
                        <w:right w:val="none" w:sz="0" w:space="0" w:color="auto"/>
                      </w:divBdr>
                    </w:div>
                  </w:divsChild>
                </w:div>
                <w:div w:id="1429539497">
                  <w:marLeft w:val="0"/>
                  <w:marRight w:val="0"/>
                  <w:marTop w:val="0"/>
                  <w:marBottom w:val="0"/>
                  <w:divBdr>
                    <w:top w:val="none" w:sz="0" w:space="0" w:color="auto"/>
                    <w:left w:val="none" w:sz="0" w:space="0" w:color="auto"/>
                    <w:bottom w:val="none" w:sz="0" w:space="0" w:color="auto"/>
                    <w:right w:val="none" w:sz="0" w:space="0" w:color="auto"/>
                  </w:divBdr>
                  <w:divsChild>
                    <w:div w:id="730419635">
                      <w:marLeft w:val="0"/>
                      <w:marRight w:val="0"/>
                      <w:marTop w:val="0"/>
                      <w:marBottom w:val="0"/>
                      <w:divBdr>
                        <w:top w:val="none" w:sz="0" w:space="0" w:color="auto"/>
                        <w:left w:val="none" w:sz="0" w:space="0" w:color="auto"/>
                        <w:bottom w:val="none" w:sz="0" w:space="0" w:color="auto"/>
                        <w:right w:val="none" w:sz="0" w:space="0" w:color="auto"/>
                      </w:divBdr>
                    </w:div>
                    <w:div w:id="187199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yperlink" Target="https://www.suttontrust.com/our-research/social-mobility-the-next-generation-lost-potential-at-age-16/" TargetMode="External"/><Relationship Id="rId39" Type="http://schemas.openxmlformats.org/officeDocument/2006/relationships/fontTable" Target="fontTable.xml"/><Relationship Id="rId21" Type="http://schemas.openxmlformats.org/officeDocument/2006/relationships/hyperlink" Target="https://doi.org/10.1177/1557085105282899" TargetMode="External"/><Relationship Id="rId34" Type="http://schemas.openxmlformats.org/officeDocument/2006/relationships/hyperlink" Target="https://doi.org/10.1787/9789264301085-en"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https://assets.publishing.service.gov.uk/government/uploads/system/uploads/attachment_data/file/800028/Timpson_review_of_school_exclusion_literature_review.pdf" TargetMode="External"/><Relationship Id="rId33" Type="http://schemas.openxmlformats.org/officeDocument/2006/relationships/hyperlink" Target="https://assets.publishing.service.gov.uk/government/uploads/system/uploads/attachment_data/file/1056236/data-first-user-guide-version-7.0.pdf" TargetMode="External"/><Relationship Id="rId38" Type="http://schemas.openxmlformats.org/officeDocument/2006/relationships/hyperlink" Target="https://doi.org/10.1016/S0169-7161(06)26028-0"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s://docs.iza.org/dp15225.pdf" TargetMode="External"/><Relationship Id="rId29" Type="http://schemas.openxmlformats.org/officeDocument/2006/relationships/hyperlink" Target="https://doi.org/10.1080/03054985.2024.23085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ffteducationdatalab.org.uk/2024/04/the-consequences-of-primary-school-exclusions/" TargetMode="External"/><Relationship Id="rId32" Type="http://schemas.openxmlformats.org/officeDocument/2006/relationships/hyperlink" Target="https://doi.org/10.1007/s10940-018-9395-8" TargetMode="External"/><Relationship Id="rId37" Type="http://schemas.openxmlformats.org/officeDocument/2006/relationships/hyperlink" Target="https://doi.org/10.1002/rev3.329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s://doi.org/10.1001/archpediatrics.2009.31" TargetMode="External"/><Relationship Id="rId28" Type="http://schemas.openxmlformats.org/officeDocument/2006/relationships/hyperlink" Target="https://doi.org/10.35542/osf.io/64vg9" TargetMode="External"/><Relationship Id="rId36" Type="http://schemas.openxmlformats.org/officeDocument/2006/relationships/hyperlink" Target="https://www.gov.uk/government/publications/state-of-the-nation-2023-people-and-places" TargetMode="External"/><Relationship Id="rId10" Type="http://schemas.openxmlformats.org/officeDocument/2006/relationships/footer" Target="footer1.xml"/><Relationship Id="rId19" Type="http://schemas.openxmlformats.org/officeDocument/2006/relationships/hyperlink" Target="https://doi.org/10.2307/j.ctt9qgrfx.17" TargetMode="External"/><Relationship Id="rId31" Type="http://schemas.openxmlformats.org/officeDocument/2006/relationships/hyperlink" Target="https://doi.org/10.1016/j.avb.2023.101842" TargetMode="External"/><Relationship Id="rId4" Type="http://schemas.openxmlformats.org/officeDocument/2006/relationships/settings" Target="settings.xml"/><Relationship Id="rId9" Type="http://schemas.openxmlformats.org/officeDocument/2006/relationships/hyperlink" Target="https://twitter.com/nuffieldfound" TargetMode="External"/><Relationship Id="rId14" Type="http://schemas.openxmlformats.org/officeDocument/2006/relationships/chart" Target="charts/chart4.xml"/><Relationship Id="rId22" Type="http://schemas.openxmlformats.org/officeDocument/2006/relationships/hyperlink" Target="https://doi.org/10.1080/03054985.2016.1240672" TargetMode="External"/><Relationship Id="rId27" Type="http://schemas.openxmlformats.org/officeDocument/2006/relationships/hyperlink" Target="https://doi.org/10.1080/02671522.2023.2271930" TargetMode="External"/><Relationship Id="rId30" Type="http://schemas.openxmlformats.org/officeDocument/2006/relationships/hyperlink" Target="https://doi.org/10.1073/pnas.1800028115" TargetMode="External"/><Relationship Id="rId35" Type="http://schemas.openxmlformats.org/officeDocument/2006/relationships/hyperlink" Target="https://doi.org/10.1080/02673843.2013.866148" TargetMode="External"/><Relationship Id="rId8" Type="http://schemas.openxmlformats.org/officeDocument/2006/relationships/hyperlink" Target="http://www.nuffieldfoundation.org"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mailto:j.jerrim@ucl.ac.uk"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1vmlfps01v\Projects1$\2004421\Working\Write_Up\Absence_Result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1vmlfps01v\Projects1$\2004421\Working\Write_Up\Absence_Results.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c1vmlfps01v\Projects1$\2004421\Working\Write_Up\Absence_Results.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c1vmlfps01v\Projects1$\2004421\Working\Write_Up\Fixed_Exclusion_Results.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file:///\\c1vmlfps01v\Projects1$\2004421\Working\Write_Up\Fixed_Exclusion_Results.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oleObject" Target="file:///\\c1vmlfps01v\Projects1$\2004421\Working\Write_Up\Fixed_Exclusion_Results.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6.xml"/></Relationships>
</file>

<file path=word/charts/_rels/chart7.xml.rels><?xml version="1.0" encoding="UTF-8" standalone="yes"?>
<Relationships xmlns="http://schemas.openxmlformats.org/package/2006/relationships"><Relationship Id="rId3" Type="http://schemas.openxmlformats.org/officeDocument/2006/relationships/oleObject" Target="file:///\\c1vmlfps01v\Projects1$\2004421\Working\Write_Up\Crime_Result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1vmlfps01v\Projects1$\2004421\Working\Write_Up\Crime_Result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965592989677484E-2"/>
          <c:y val="5.0632911392405063E-2"/>
          <c:w val="0.90923126402812215"/>
          <c:h val="0.87271170667738762"/>
        </c:manualLayout>
      </c:layout>
      <c:lineChart>
        <c:grouping val="standard"/>
        <c:varyColors val="0"/>
        <c:ser>
          <c:idx val="0"/>
          <c:order val="0"/>
          <c:tx>
            <c:strRef>
              <c:f>All_Cohorts!$A$10</c:f>
              <c:strCache>
                <c:ptCount val="1"/>
                <c:pt idx="0">
                  <c:v>High achieving, high SES</c:v>
                </c:pt>
              </c:strCache>
            </c:strRef>
          </c:tx>
          <c:spPr>
            <a:ln w="28575" cap="rnd">
              <a:solidFill>
                <a:schemeClr val="bg1">
                  <a:lumMod val="65000"/>
                </a:schemeClr>
              </a:solidFill>
              <a:round/>
            </a:ln>
            <a:effectLst/>
          </c:spPr>
          <c:marker>
            <c:symbol val="none"/>
          </c:marker>
          <c:cat>
            <c:strRef>
              <c:f>All_Cohorts!$B$8:$AH$8</c:f>
              <c:strCache>
                <c:ptCount val="31"/>
                <c:pt idx="0">
                  <c:v>Year 1</c:v>
                </c:pt>
                <c:pt idx="3">
                  <c:v>Year 2</c:v>
                </c:pt>
                <c:pt idx="6">
                  <c:v>Year 3</c:v>
                </c:pt>
                <c:pt idx="9">
                  <c:v>Year 4</c:v>
                </c:pt>
                <c:pt idx="12">
                  <c:v>Year 5</c:v>
                </c:pt>
                <c:pt idx="15">
                  <c:v>Year 6</c:v>
                </c:pt>
                <c:pt idx="18">
                  <c:v>Year 7</c:v>
                </c:pt>
                <c:pt idx="21">
                  <c:v>Year 8</c:v>
                </c:pt>
                <c:pt idx="24">
                  <c:v>Year 9</c:v>
                </c:pt>
                <c:pt idx="27">
                  <c:v>Year 10</c:v>
                </c:pt>
                <c:pt idx="30">
                  <c:v>Year 11</c:v>
                </c:pt>
              </c:strCache>
            </c:strRef>
          </c:cat>
          <c:val>
            <c:numRef>
              <c:f>All_Cohorts!$B$10:$AH$10</c:f>
              <c:numCache>
                <c:formatCode>General</c:formatCode>
                <c:ptCount val="33"/>
                <c:pt idx="0">
                  <c:v>3.0803059378227999</c:v>
                </c:pt>
                <c:pt idx="1">
                  <c:v>4.29983330610143</c:v>
                </c:pt>
                <c:pt idx="2">
                  <c:v>3.58008620524026</c:v>
                </c:pt>
                <c:pt idx="3">
                  <c:v>3.2162586145080398</c:v>
                </c:pt>
                <c:pt idx="4">
                  <c:v>3.6684241460147602</c:v>
                </c:pt>
                <c:pt idx="5">
                  <c:v>3.1449333539677999</c:v>
                </c:pt>
                <c:pt idx="6">
                  <c:v>3.20377894832788</c:v>
                </c:pt>
                <c:pt idx="7">
                  <c:v>3.2953989094573299</c:v>
                </c:pt>
                <c:pt idx="8">
                  <c:v>2.7882246023456898</c:v>
                </c:pt>
                <c:pt idx="9">
                  <c:v>3.35038535331898</c:v>
                </c:pt>
                <c:pt idx="10">
                  <c:v>3.2390394171497698</c:v>
                </c:pt>
                <c:pt idx="11">
                  <c:v>3.2406301353194298</c:v>
                </c:pt>
                <c:pt idx="12">
                  <c:v>3.26660502148777</c:v>
                </c:pt>
                <c:pt idx="13">
                  <c:v>2.9551930752517701</c:v>
                </c:pt>
                <c:pt idx="14">
                  <c:v>2.7163881713820399</c:v>
                </c:pt>
                <c:pt idx="15">
                  <c:v>2.6024111970121</c:v>
                </c:pt>
                <c:pt idx="16">
                  <c:v>3.2017679490221398</c:v>
                </c:pt>
                <c:pt idx="17">
                  <c:v>2.3576510194023501</c:v>
                </c:pt>
                <c:pt idx="18">
                  <c:v>2.71825598919088</c:v>
                </c:pt>
                <c:pt idx="19">
                  <c:v>3.7929045396055301</c:v>
                </c:pt>
                <c:pt idx="20">
                  <c:v>2.9603088598175198</c:v>
                </c:pt>
                <c:pt idx="21">
                  <c:v>3.2880874626148602</c:v>
                </c:pt>
                <c:pt idx="22">
                  <c:v>3.4380277472765499</c:v>
                </c:pt>
                <c:pt idx="23">
                  <c:v>3.1332616796597299</c:v>
                </c:pt>
                <c:pt idx="24">
                  <c:v>3.8573643104637299</c:v>
                </c:pt>
                <c:pt idx="25">
                  <c:v>3.8273978407798301</c:v>
                </c:pt>
                <c:pt idx="26">
                  <c:v>3.2389973519034898</c:v>
                </c:pt>
                <c:pt idx="27">
                  <c:v>3.7759708267602599</c:v>
                </c:pt>
                <c:pt idx="28">
                  <c:v>4.4543715391573198</c:v>
                </c:pt>
                <c:pt idx="29">
                  <c:v>3.9199318043293001</c:v>
                </c:pt>
                <c:pt idx="30">
                  <c:v>4.5370207265362801</c:v>
                </c:pt>
                <c:pt idx="31">
                  <c:v>4.6367673151207196</c:v>
                </c:pt>
                <c:pt idx="32">
                  <c:v>10.1858719827258</c:v>
                </c:pt>
              </c:numCache>
            </c:numRef>
          </c:val>
          <c:smooth val="0"/>
          <c:extLst>
            <c:ext xmlns:c16="http://schemas.microsoft.com/office/drawing/2014/chart" uri="{C3380CC4-5D6E-409C-BE32-E72D297353CC}">
              <c16:uniqueId val="{00000000-5957-4B81-B95E-CC18A843BCB5}"/>
            </c:ext>
          </c:extLst>
        </c:ser>
        <c:ser>
          <c:idx val="1"/>
          <c:order val="1"/>
          <c:tx>
            <c:strRef>
              <c:f>All_Cohorts!$A$11</c:f>
              <c:strCache>
                <c:ptCount val="1"/>
                <c:pt idx="0">
                  <c:v>High achieving, low SES</c:v>
                </c:pt>
              </c:strCache>
            </c:strRef>
          </c:tx>
          <c:spPr>
            <a:ln w="28575" cap="rnd">
              <a:solidFill>
                <a:schemeClr val="tx1"/>
              </a:solidFill>
              <a:prstDash val="dash"/>
              <a:round/>
            </a:ln>
            <a:effectLst/>
          </c:spPr>
          <c:marker>
            <c:symbol val="none"/>
          </c:marker>
          <c:cat>
            <c:strRef>
              <c:f>All_Cohorts!$B$8:$AH$8</c:f>
              <c:strCache>
                <c:ptCount val="31"/>
                <c:pt idx="0">
                  <c:v>Year 1</c:v>
                </c:pt>
                <c:pt idx="3">
                  <c:v>Year 2</c:v>
                </c:pt>
                <c:pt idx="6">
                  <c:v>Year 3</c:v>
                </c:pt>
                <c:pt idx="9">
                  <c:v>Year 4</c:v>
                </c:pt>
                <c:pt idx="12">
                  <c:v>Year 5</c:v>
                </c:pt>
                <c:pt idx="15">
                  <c:v>Year 6</c:v>
                </c:pt>
                <c:pt idx="18">
                  <c:v>Year 7</c:v>
                </c:pt>
                <c:pt idx="21">
                  <c:v>Year 8</c:v>
                </c:pt>
                <c:pt idx="24">
                  <c:v>Year 9</c:v>
                </c:pt>
                <c:pt idx="27">
                  <c:v>Year 10</c:v>
                </c:pt>
                <c:pt idx="30">
                  <c:v>Year 11</c:v>
                </c:pt>
              </c:strCache>
            </c:strRef>
          </c:cat>
          <c:val>
            <c:numRef>
              <c:f>All_Cohorts!$B$11:$AH$11</c:f>
              <c:numCache>
                <c:formatCode>General</c:formatCode>
                <c:ptCount val="33"/>
                <c:pt idx="0">
                  <c:v>6.4313018271083999</c:v>
                </c:pt>
                <c:pt idx="1">
                  <c:v>7.4348180851057304</c:v>
                </c:pt>
                <c:pt idx="2">
                  <c:v>6.1263789539018996</c:v>
                </c:pt>
                <c:pt idx="3">
                  <c:v>6.6227685725184804</c:v>
                </c:pt>
                <c:pt idx="4">
                  <c:v>6.0646219784381401</c:v>
                </c:pt>
                <c:pt idx="5">
                  <c:v>5.2041015830608401</c:v>
                </c:pt>
                <c:pt idx="6">
                  <c:v>6.2497664259643004</c:v>
                </c:pt>
                <c:pt idx="7">
                  <c:v>5.5355925459123103</c:v>
                </c:pt>
                <c:pt idx="8">
                  <c:v>4.63407920003079</c:v>
                </c:pt>
                <c:pt idx="9">
                  <c:v>5.6628977391122399</c:v>
                </c:pt>
                <c:pt idx="10">
                  <c:v>5.3256912211474496</c:v>
                </c:pt>
                <c:pt idx="11">
                  <c:v>4.6514778953270097</c:v>
                </c:pt>
                <c:pt idx="12">
                  <c:v>5.72242058030821</c:v>
                </c:pt>
                <c:pt idx="13">
                  <c:v>4.3961526567541496</c:v>
                </c:pt>
                <c:pt idx="14">
                  <c:v>4.4511733565095604</c:v>
                </c:pt>
                <c:pt idx="15">
                  <c:v>3.94914515370527</c:v>
                </c:pt>
                <c:pt idx="16">
                  <c:v>4.1897518425351601</c:v>
                </c:pt>
                <c:pt idx="17">
                  <c:v>3.4064811048936199</c:v>
                </c:pt>
                <c:pt idx="18">
                  <c:v>4.6744001428227397</c:v>
                </c:pt>
                <c:pt idx="19">
                  <c:v>5.7657434972734096</c:v>
                </c:pt>
                <c:pt idx="20">
                  <c:v>5.2860588462586202</c:v>
                </c:pt>
                <c:pt idx="21">
                  <c:v>5.7707441859293001</c:v>
                </c:pt>
                <c:pt idx="22">
                  <c:v>5.6091164375843903</c:v>
                </c:pt>
                <c:pt idx="23">
                  <c:v>5.6457399384085196</c:v>
                </c:pt>
                <c:pt idx="24">
                  <c:v>6.6913875222325903</c:v>
                </c:pt>
                <c:pt idx="25">
                  <c:v>6.4186909063471598</c:v>
                </c:pt>
                <c:pt idx="26">
                  <c:v>5.9636824664686001</c:v>
                </c:pt>
                <c:pt idx="27">
                  <c:v>7.0088941517760697</c:v>
                </c:pt>
                <c:pt idx="28">
                  <c:v>7.6948806773212901</c:v>
                </c:pt>
                <c:pt idx="29">
                  <c:v>7.05396183520413</c:v>
                </c:pt>
                <c:pt idx="30">
                  <c:v>7.6658112412914798</c:v>
                </c:pt>
                <c:pt idx="31">
                  <c:v>8.1556940748217794</c:v>
                </c:pt>
                <c:pt idx="32">
                  <c:v>8.82238161098517</c:v>
                </c:pt>
              </c:numCache>
            </c:numRef>
          </c:val>
          <c:smooth val="0"/>
          <c:extLst>
            <c:ext xmlns:c16="http://schemas.microsoft.com/office/drawing/2014/chart" uri="{C3380CC4-5D6E-409C-BE32-E72D297353CC}">
              <c16:uniqueId val="{00000001-5957-4B81-B95E-CC18A843BCB5}"/>
            </c:ext>
          </c:extLst>
        </c:ser>
        <c:dLbls>
          <c:showLegendKey val="0"/>
          <c:showVal val="0"/>
          <c:showCatName val="0"/>
          <c:showSerName val="0"/>
          <c:showPercent val="0"/>
          <c:showBubbleSize val="0"/>
        </c:dLbls>
        <c:smooth val="0"/>
        <c:axId val="122770384"/>
        <c:axId val="122772464"/>
      </c:lineChart>
      <c:catAx>
        <c:axId val="12277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22772464"/>
        <c:crosses val="autoZero"/>
        <c:auto val="1"/>
        <c:lblAlgn val="ctr"/>
        <c:lblOffset val="100"/>
        <c:noMultiLvlLbl val="0"/>
      </c:catAx>
      <c:valAx>
        <c:axId val="122772464"/>
        <c:scaling>
          <c:orientation val="minMax"/>
          <c:max val="10"/>
        </c:scaling>
        <c:delete val="0"/>
        <c:axPos val="l"/>
        <c:title>
          <c:tx>
            <c:rich>
              <a:bodyPr rot="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 sessions missed</a:t>
                </a:r>
              </a:p>
            </c:rich>
          </c:tx>
          <c:layout>
            <c:manualLayout>
              <c:xMode val="edge"/>
              <c:yMode val="edge"/>
              <c:x val="6.2872617993279478E-2"/>
              <c:y val="3.8705000770185389E-3"/>
            </c:manualLayout>
          </c:layout>
          <c:overlay val="0"/>
          <c:spPr>
            <a:noFill/>
            <a:ln>
              <a:noFill/>
            </a:ln>
            <a:effectLst/>
          </c:spPr>
          <c:txPr>
            <a:bodyPr rot="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22770384"/>
        <c:crosses val="autoZero"/>
        <c:crossBetween val="between"/>
      </c:valAx>
      <c:spPr>
        <a:noFill/>
        <a:ln>
          <a:noFill/>
        </a:ln>
        <a:effectLst/>
      </c:spPr>
    </c:plotArea>
    <c:legend>
      <c:legendPos val="b"/>
      <c:layout>
        <c:manualLayout>
          <c:xMode val="edge"/>
          <c:yMode val="edge"/>
          <c:x val="0.60062659616228331"/>
          <c:y val="0.80763385963006551"/>
          <c:w val="0.38839781097744025"/>
          <c:h val="9.5703490266739383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965592989677484E-2"/>
          <c:y val="5.0632911392405063E-2"/>
          <c:w val="0.90923126402812215"/>
          <c:h val="0.87271170667738762"/>
        </c:manualLayout>
      </c:layout>
      <c:lineChart>
        <c:grouping val="standard"/>
        <c:varyColors val="0"/>
        <c:ser>
          <c:idx val="0"/>
          <c:order val="0"/>
          <c:tx>
            <c:strRef>
              <c:f>All_Cohorts_Boys!$A$10</c:f>
              <c:strCache>
                <c:ptCount val="1"/>
                <c:pt idx="0">
                  <c:v>White</c:v>
                </c:pt>
              </c:strCache>
            </c:strRef>
          </c:tx>
          <c:spPr>
            <a:ln w="28575" cap="rnd">
              <a:solidFill>
                <a:schemeClr val="bg1">
                  <a:lumMod val="65000"/>
                </a:schemeClr>
              </a:solidFill>
              <a:round/>
            </a:ln>
            <a:effectLst/>
          </c:spPr>
          <c:marker>
            <c:symbol val="none"/>
          </c:marker>
          <c:cat>
            <c:strRef>
              <c:f>All_Cohorts!$B$8:$AH$8</c:f>
              <c:strCache>
                <c:ptCount val="31"/>
                <c:pt idx="0">
                  <c:v>Year 1</c:v>
                </c:pt>
                <c:pt idx="3">
                  <c:v>Year 2</c:v>
                </c:pt>
                <c:pt idx="6">
                  <c:v>Year 3</c:v>
                </c:pt>
                <c:pt idx="9">
                  <c:v>Year 4</c:v>
                </c:pt>
                <c:pt idx="12">
                  <c:v>Year 5</c:v>
                </c:pt>
                <c:pt idx="15">
                  <c:v>Year 6</c:v>
                </c:pt>
                <c:pt idx="18">
                  <c:v>Year 7</c:v>
                </c:pt>
                <c:pt idx="21">
                  <c:v>Year 8</c:v>
                </c:pt>
                <c:pt idx="24">
                  <c:v>Year 9</c:v>
                </c:pt>
                <c:pt idx="27">
                  <c:v>Year 10</c:v>
                </c:pt>
                <c:pt idx="30">
                  <c:v>Year 11</c:v>
                </c:pt>
              </c:strCache>
            </c:strRef>
          </c:cat>
          <c:val>
            <c:numRef>
              <c:f>All_Cohorts_Boys!$B$10:$AH$10</c:f>
              <c:numCache>
                <c:formatCode>General</c:formatCode>
                <c:ptCount val="33"/>
                <c:pt idx="0">
                  <c:v>6.5217009251209399</c:v>
                </c:pt>
                <c:pt idx="1">
                  <c:v>7.5030868604004102</c:v>
                </c:pt>
                <c:pt idx="2">
                  <c:v>6.5895809342424201</c:v>
                </c:pt>
                <c:pt idx="3">
                  <c:v>6.3799804028615199</c:v>
                </c:pt>
                <c:pt idx="4">
                  <c:v>6.3051518412116003</c:v>
                </c:pt>
                <c:pt idx="5">
                  <c:v>5.5763348001312298</c:v>
                </c:pt>
                <c:pt idx="6">
                  <c:v>6.0246756801032904</c:v>
                </c:pt>
                <c:pt idx="7">
                  <c:v>5.7513235908470701</c:v>
                </c:pt>
                <c:pt idx="8">
                  <c:v>5.1493539544486699</c:v>
                </c:pt>
                <c:pt idx="9">
                  <c:v>5.7770405822926199</c:v>
                </c:pt>
                <c:pt idx="10">
                  <c:v>5.6322668977583801</c:v>
                </c:pt>
                <c:pt idx="11">
                  <c:v>5.2115061516346799</c:v>
                </c:pt>
                <c:pt idx="12">
                  <c:v>6.0097122943130996</c:v>
                </c:pt>
                <c:pt idx="13">
                  <c:v>4.9394365959291404</c:v>
                </c:pt>
                <c:pt idx="14">
                  <c:v>4.9201964480281397</c:v>
                </c:pt>
                <c:pt idx="15">
                  <c:v>4.49678914919786</c:v>
                </c:pt>
                <c:pt idx="16">
                  <c:v>4.8244646805440299</c:v>
                </c:pt>
                <c:pt idx="17">
                  <c:v>4.2103590614259003</c:v>
                </c:pt>
                <c:pt idx="18">
                  <c:v>5.36761067676332</c:v>
                </c:pt>
                <c:pt idx="19">
                  <c:v>6.5492232471899898</c:v>
                </c:pt>
                <c:pt idx="20">
                  <c:v>6.2156793301334199</c:v>
                </c:pt>
                <c:pt idx="21">
                  <c:v>6.3783097087729699</c:v>
                </c:pt>
                <c:pt idx="22">
                  <c:v>6.3457585750713603</c:v>
                </c:pt>
                <c:pt idx="23">
                  <c:v>6.37978077116483</c:v>
                </c:pt>
                <c:pt idx="24">
                  <c:v>7.2852599697130804</c:v>
                </c:pt>
                <c:pt idx="25">
                  <c:v>7.1117914288231097</c:v>
                </c:pt>
                <c:pt idx="26">
                  <c:v>6.5294324954188099</c:v>
                </c:pt>
                <c:pt idx="27">
                  <c:v>7.5013046571661102</c:v>
                </c:pt>
                <c:pt idx="28">
                  <c:v>8.1630438364813607</c:v>
                </c:pt>
                <c:pt idx="29">
                  <c:v>7.3731413093148497</c:v>
                </c:pt>
                <c:pt idx="30">
                  <c:v>8.0413159733856308</c:v>
                </c:pt>
                <c:pt idx="31">
                  <c:v>8.5491735146053802</c:v>
                </c:pt>
                <c:pt idx="32">
                  <c:v>8.9794494712036297</c:v>
                </c:pt>
              </c:numCache>
            </c:numRef>
          </c:val>
          <c:smooth val="0"/>
          <c:extLst>
            <c:ext xmlns:c16="http://schemas.microsoft.com/office/drawing/2014/chart" uri="{C3380CC4-5D6E-409C-BE32-E72D297353CC}">
              <c16:uniqueId val="{00000000-FE19-4391-B72F-3EA803812001}"/>
            </c:ext>
          </c:extLst>
        </c:ser>
        <c:ser>
          <c:idx val="1"/>
          <c:order val="1"/>
          <c:tx>
            <c:strRef>
              <c:f>All_Cohorts_Boys!$A$11</c:f>
              <c:strCache>
                <c:ptCount val="1"/>
                <c:pt idx="0">
                  <c:v>Asian</c:v>
                </c:pt>
              </c:strCache>
            </c:strRef>
          </c:tx>
          <c:spPr>
            <a:ln w="28575" cap="rnd">
              <a:solidFill>
                <a:schemeClr val="tx1"/>
              </a:solidFill>
              <a:prstDash val="dash"/>
              <a:round/>
            </a:ln>
            <a:effectLst/>
          </c:spPr>
          <c:marker>
            <c:symbol val="none"/>
          </c:marker>
          <c:cat>
            <c:strRef>
              <c:f>All_Cohorts!$B$8:$AH$8</c:f>
              <c:strCache>
                <c:ptCount val="31"/>
                <c:pt idx="0">
                  <c:v>Year 1</c:v>
                </c:pt>
                <c:pt idx="3">
                  <c:v>Year 2</c:v>
                </c:pt>
                <c:pt idx="6">
                  <c:v>Year 3</c:v>
                </c:pt>
                <c:pt idx="9">
                  <c:v>Year 4</c:v>
                </c:pt>
                <c:pt idx="12">
                  <c:v>Year 5</c:v>
                </c:pt>
                <c:pt idx="15">
                  <c:v>Year 6</c:v>
                </c:pt>
                <c:pt idx="18">
                  <c:v>Year 7</c:v>
                </c:pt>
                <c:pt idx="21">
                  <c:v>Year 8</c:v>
                </c:pt>
                <c:pt idx="24">
                  <c:v>Year 9</c:v>
                </c:pt>
                <c:pt idx="27">
                  <c:v>Year 10</c:v>
                </c:pt>
                <c:pt idx="30">
                  <c:v>Year 11</c:v>
                </c:pt>
              </c:strCache>
            </c:strRef>
          </c:cat>
          <c:val>
            <c:numRef>
              <c:f>All_Cohorts_Boys!$B$11:$AH$11</c:f>
              <c:numCache>
                <c:formatCode>General</c:formatCode>
                <c:ptCount val="33"/>
                <c:pt idx="0">
                  <c:v>7.1226563852842704</c:v>
                </c:pt>
                <c:pt idx="1">
                  <c:v>8.1672385029522303</c:v>
                </c:pt>
                <c:pt idx="2">
                  <c:v>5.3848281499821598</c:v>
                </c:pt>
                <c:pt idx="3">
                  <c:v>7.6220646778663896</c:v>
                </c:pt>
                <c:pt idx="4">
                  <c:v>6.2018325252830397</c:v>
                </c:pt>
                <c:pt idx="5">
                  <c:v>4.5440180493583302</c:v>
                </c:pt>
                <c:pt idx="6">
                  <c:v>7.6607250743799602</c:v>
                </c:pt>
                <c:pt idx="7">
                  <c:v>5.5380910440791302</c:v>
                </c:pt>
                <c:pt idx="8">
                  <c:v>3.6664558411782902</c:v>
                </c:pt>
                <c:pt idx="9">
                  <c:v>6.3486858471762799</c:v>
                </c:pt>
                <c:pt idx="10">
                  <c:v>5.1570192444768503</c:v>
                </c:pt>
                <c:pt idx="11">
                  <c:v>3.5934175358561</c:v>
                </c:pt>
                <c:pt idx="12">
                  <c:v>6.62308211627328</c:v>
                </c:pt>
                <c:pt idx="13">
                  <c:v>3.7233032678712399</c:v>
                </c:pt>
                <c:pt idx="14">
                  <c:v>3.2476047684834501</c:v>
                </c:pt>
                <c:pt idx="15">
                  <c:v>3.5539628736036502</c:v>
                </c:pt>
                <c:pt idx="16">
                  <c:v>3.6277972352889098</c:v>
                </c:pt>
                <c:pt idx="17">
                  <c:v>2.76532466643383</c:v>
                </c:pt>
                <c:pt idx="18">
                  <c:v>3.9652528767683499</c:v>
                </c:pt>
                <c:pt idx="19">
                  <c:v>5.0634839925424497</c:v>
                </c:pt>
                <c:pt idx="20">
                  <c:v>3.6676281121450098</c:v>
                </c:pt>
                <c:pt idx="21">
                  <c:v>5.2698462778335804</c:v>
                </c:pt>
                <c:pt idx="22">
                  <c:v>4.3077377033418998</c:v>
                </c:pt>
                <c:pt idx="23">
                  <c:v>4.2303392400796902</c:v>
                </c:pt>
                <c:pt idx="24">
                  <c:v>5.7391948169338702</c:v>
                </c:pt>
                <c:pt idx="25">
                  <c:v>4.45471230818658</c:v>
                </c:pt>
                <c:pt idx="26">
                  <c:v>4.0404632301987498</c:v>
                </c:pt>
                <c:pt idx="27">
                  <c:v>5.2469818362174196</c:v>
                </c:pt>
                <c:pt idx="28">
                  <c:v>5.5837421558763598</c:v>
                </c:pt>
                <c:pt idx="29">
                  <c:v>4.9175008046039999</c:v>
                </c:pt>
                <c:pt idx="30">
                  <c:v>5.4303698276864099</c:v>
                </c:pt>
                <c:pt idx="31">
                  <c:v>5.0898057066779003</c:v>
                </c:pt>
                <c:pt idx="32">
                  <c:v>6.6108701938120502</c:v>
                </c:pt>
              </c:numCache>
            </c:numRef>
          </c:val>
          <c:smooth val="0"/>
          <c:extLst>
            <c:ext xmlns:c16="http://schemas.microsoft.com/office/drawing/2014/chart" uri="{C3380CC4-5D6E-409C-BE32-E72D297353CC}">
              <c16:uniqueId val="{00000001-FE19-4391-B72F-3EA803812001}"/>
            </c:ext>
          </c:extLst>
        </c:ser>
        <c:ser>
          <c:idx val="2"/>
          <c:order val="2"/>
          <c:tx>
            <c:strRef>
              <c:f>All_Cohorts_Boys!$A$12</c:f>
              <c:strCache>
                <c:ptCount val="1"/>
                <c:pt idx="0">
                  <c:v>Black</c:v>
                </c:pt>
              </c:strCache>
            </c:strRef>
          </c:tx>
          <c:spPr>
            <a:ln w="28575" cap="rnd">
              <a:solidFill>
                <a:schemeClr val="accent3"/>
              </a:solidFill>
              <a:prstDash val="sysDot"/>
              <a:round/>
            </a:ln>
            <a:effectLst/>
          </c:spPr>
          <c:marker>
            <c:symbol val="none"/>
          </c:marker>
          <c:cat>
            <c:strRef>
              <c:f>All_Cohorts!$B$8:$AH$8</c:f>
              <c:strCache>
                <c:ptCount val="31"/>
                <c:pt idx="0">
                  <c:v>Year 1</c:v>
                </c:pt>
                <c:pt idx="3">
                  <c:v>Year 2</c:v>
                </c:pt>
                <c:pt idx="6">
                  <c:v>Year 3</c:v>
                </c:pt>
                <c:pt idx="9">
                  <c:v>Year 4</c:v>
                </c:pt>
                <c:pt idx="12">
                  <c:v>Year 5</c:v>
                </c:pt>
                <c:pt idx="15">
                  <c:v>Year 6</c:v>
                </c:pt>
                <c:pt idx="18">
                  <c:v>Year 7</c:v>
                </c:pt>
                <c:pt idx="21">
                  <c:v>Year 8</c:v>
                </c:pt>
                <c:pt idx="24">
                  <c:v>Year 9</c:v>
                </c:pt>
                <c:pt idx="27">
                  <c:v>Year 10</c:v>
                </c:pt>
                <c:pt idx="30">
                  <c:v>Year 11</c:v>
                </c:pt>
              </c:strCache>
            </c:strRef>
          </c:cat>
          <c:val>
            <c:numRef>
              <c:f>All_Cohorts_Boys!$B$12:$AH$12</c:f>
              <c:numCache>
                <c:formatCode>General</c:formatCode>
                <c:ptCount val="33"/>
                <c:pt idx="0">
                  <c:v>5.5464773450216001</c:v>
                </c:pt>
                <c:pt idx="1">
                  <c:v>5.8785418356662698</c:v>
                </c:pt>
                <c:pt idx="2">
                  <c:v>4.91730384658318</c:v>
                </c:pt>
                <c:pt idx="3">
                  <c:v>6.4639049431939304</c:v>
                </c:pt>
                <c:pt idx="4">
                  <c:v>4.7968781091110104</c:v>
                </c:pt>
                <c:pt idx="5">
                  <c:v>4.1226861224939997</c:v>
                </c:pt>
                <c:pt idx="6">
                  <c:v>5.1555156951390604</c:v>
                </c:pt>
                <c:pt idx="7">
                  <c:v>4.1910827716196</c:v>
                </c:pt>
                <c:pt idx="8">
                  <c:v>2.8165050221732502</c:v>
                </c:pt>
                <c:pt idx="9">
                  <c:v>4.15864419579247</c:v>
                </c:pt>
                <c:pt idx="10">
                  <c:v>3.7545327616742199</c:v>
                </c:pt>
                <c:pt idx="11">
                  <c:v>3.1372473603679101</c:v>
                </c:pt>
                <c:pt idx="12">
                  <c:v>4.5956420937896301</c:v>
                </c:pt>
                <c:pt idx="13">
                  <c:v>2.7021610385228798</c:v>
                </c:pt>
                <c:pt idx="14">
                  <c:v>3.0393044553289901</c:v>
                </c:pt>
                <c:pt idx="15">
                  <c:v>2.6026086783329099</c:v>
                </c:pt>
                <c:pt idx="16">
                  <c:v>2.7303852941584301</c:v>
                </c:pt>
                <c:pt idx="17">
                  <c:v>2.2025000832669202</c:v>
                </c:pt>
                <c:pt idx="18">
                  <c:v>3.7710522638150401</c:v>
                </c:pt>
                <c:pt idx="19">
                  <c:v>3.8620941514677698</c:v>
                </c:pt>
                <c:pt idx="20">
                  <c:v>3.3525119079634802</c:v>
                </c:pt>
                <c:pt idx="21">
                  <c:v>4.06909086553393</c:v>
                </c:pt>
                <c:pt idx="22">
                  <c:v>3.56085539594994</c:v>
                </c:pt>
                <c:pt idx="23">
                  <c:v>3.4750310144810199</c:v>
                </c:pt>
                <c:pt idx="24">
                  <c:v>4.36154270411655</c:v>
                </c:pt>
                <c:pt idx="25">
                  <c:v>4.2440505468183396</c:v>
                </c:pt>
                <c:pt idx="26">
                  <c:v>3.5807700760145602</c:v>
                </c:pt>
                <c:pt idx="27">
                  <c:v>4.5764236826074098</c:v>
                </c:pt>
                <c:pt idx="28">
                  <c:v>5.0715108583531903</c:v>
                </c:pt>
                <c:pt idx="29">
                  <c:v>4.8752179194699403</c:v>
                </c:pt>
                <c:pt idx="30">
                  <c:v>5.0981518545452298</c:v>
                </c:pt>
                <c:pt idx="31">
                  <c:v>5.2142236278106502</c:v>
                </c:pt>
                <c:pt idx="32">
                  <c:v>5.7900188601799698</c:v>
                </c:pt>
              </c:numCache>
            </c:numRef>
          </c:val>
          <c:smooth val="0"/>
          <c:extLst>
            <c:ext xmlns:c16="http://schemas.microsoft.com/office/drawing/2014/chart" uri="{C3380CC4-5D6E-409C-BE32-E72D297353CC}">
              <c16:uniqueId val="{00000002-FE19-4391-B72F-3EA803812001}"/>
            </c:ext>
          </c:extLst>
        </c:ser>
        <c:ser>
          <c:idx val="3"/>
          <c:order val="3"/>
          <c:tx>
            <c:strRef>
              <c:f>All_Cohorts_Boys!$A$13</c:f>
              <c:strCache>
                <c:ptCount val="1"/>
                <c:pt idx="0">
                  <c:v>Mixed</c:v>
                </c:pt>
              </c:strCache>
            </c:strRef>
          </c:tx>
          <c:spPr>
            <a:ln w="28575" cap="rnd">
              <a:solidFill>
                <a:schemeClr val="bg1">
                  <a:lumMod val="65000"/>
                </a:schemeClr>
              </a:solidFill>
              <a:prstDash val="sysDash"/>
              <a:round/>
            </a:ln>
            <a:effectLst/>
          </c:spPr>
          <c:marker>
            <c:symbol val="none"/>
          </c:marker>
          <c:cat>
            <c:strRef>
              <c:f>All_Cohorts!$B$8:$AH$8</c:f>
              <c:strCache>
                <c:ptCount val="31"/>
                <c:pt idx="0">
                  <c:v>Year 1</c:v>
                </c:pt>
                <c:pt idx="3">
                  <c:v>Year 2</c:v>
                </c:pt>
                <c:pt idx="6">
                  <c:v>Year 3</c:v>
                </c:pt>
                <c:pt idx="9">
                  <c:v>Year 4</c:v>
                </c:pt>
                <c:pt idx="12">
                  <c:v>Year 5</c:v>
                </c:pt>
                <c:pt idx="15">
                  <c:v>Year 6</c:v>
                </c:pt>
                <c:pt idx="18">
                  <c:v>Year 7</c:v>
                </c:pt>
                <c:pt idx="21">
                  <c:v>Year 8</c:v>
                </c:pt>
                <c:pt idx="24">
                  <c:v>Year 9</c:v>
                </c:pt>
                <c:pt idx="27">
                  <c:v>Year 10</c:v>
                </c:pt>
                <c:pt idx="30">
                  <c:v>Year 11</c:v>
                </c:pt>
              </c:strCache>
            </c:strRef>
          </c:cat>
          <c:val>
            <c:numRef>
              <c:f>All_Cohorts_Boys!$B$13:$AH$13</c:f>
              <c:numCache>
                <c:formatCode>General</c:formatCode>
                <c:ptCount val="33"/>
                <c:pt idx="0">
                  <c:v>6.26603571213652</c:v>
                </c:pt>
                <c:pt idx="1">
                  <c:v>6.9835678763713602</c:v>
                </c:pt>
                <c:pt idx="2">
                  <c:v>6.0723056608120398</c:v>
                </c:pt>
                <c:pt idx="3">
                  <c:v>6.4569031514693398</c:v>
                </c:pt>
                <c:pt idx="4">
                  <c:v>6.31951489755805</c:v>
                </c:pt>
                <c:pt idx="5">
                  <c:v>6.0443207920977002</c:v>
                </c:pt>
                <c:pt idx="6">
                  <c:v>6.2848237854985403</c:v>
                </c:pt>
                <c:pt idx="7">
                  <c:v>5.8891603243277402</c:v>
                </c:pt>
                <c:pt idx="8">
                  <c:v>4.9940867996946503</c:v>
                </c:pt>
                <c:pt idx="9">
                  <c:v>6.2208383433393397</c:v>
                </c:pt>
                <c:pt idx="10">
                  <c:v>5.6410234107881196</c:v>
                </c:pt>
                <c:pt idx="11">
                  <c:v>5.0720533616610304</c:v>
                </c:pt>
                <c:pt idx="12">
                  <c:v>5.98194114403515</c:v>
                </c:pt>
                <c:pt idx="13">
                  <c:v>4.3392469026853497</c:v>
                </c:pt>
                <c:pt idx="14">
                  <c:v>4.8749373700662497</c:v>
                </c:pt>
                <c:pt idx="15">
                  <c:v>4.1018337103154296</c:v>
                </c:pt>
                <c:pt idx="16">
                  <c:v>5.0441748383578</c:v>
                </c:pt>
                <c:pt idx="17">
                  <c:v>3.9051946700825102</c:v>
                </c:pt>
                <c:pt idx="18">
                  <c:v>5.1803845103003603</c:v>
                </c:pt>
                <c:pt idx="19">
                  <c:v>6.7500823046754101</c:v>
                </c:pt>
                <c:pt idx="20">
                  <c:v>5.4920300926262602</c:v>
                </c:pt>
                <c:pt idx="21">
                  <c:v>6.8478400053176696</c:v>
                </c:pt>
                <c:pt idx="22">
                  <c:v>6.7412948165112603</c:v>
                </c:pt>
                <c:pt idx="23">
                  <c:v>6.5760428267798696</c:v>
                </c:pt>
                <c:pt idx="24">
                  <c:v>6.9346266703564599</c:v>
                </c:pt>
                <c:pt idx="25">
                  <c:v>7.2144820784634804</c:v>
                </c:pt>
                <c:pt idx="26">
                  <c:v>6.2911801010968604</c:v>
                </c:pt>
                <c:pt idx="27">
                  <c:v>6.9887061753430704</c:v>
                </c:pt>
                <c:pt idx="28">
                  <c:v>7.7612802497247397</c:v>
                </c:pt>
                <c:pt idx="29">
                  <c:v>6.9597816264885504</c:v>
                </c:pt>
                <c:pt idx="30">
                  <c:v>8.0979663864710698</c:v>
                </c:pt>
                <c:pt idx="31">
                  <c:v>8.4903593926431302</c:v>
                </c:pt>
                <c:pt idx="32">
                  <c:v>9.1654517636040307</c:v>
                </c:pt>
              </c:numCache>
            </c:numRef>
          </c:val>
          <c:smooth val="0"/>
          <c:extLst>
            <c:ext xmlns:c16="http://schemas.microsoft.com/office/drawing/2014/chart" uri="{C3380CC4-5D6E-409C-BE32-E72D297353CC}">
              <c16:uniqueId val="{00000003-FE19-4391-B72F-3EA803812001}"/>
            </c:ext>
          </c:extLst>
        </c:ser>
        <c:dLbls>
          <c:showLegendKey val="0"/>
          <c:showVal val="0"/>
          <c:showCatName val="0"/>
          <c:showSerName val="0"/>
          <c:showPercent val="0"/>
          <c:showBubbleSize val="0"/>
        </c:dLbls>
        <c:smooth val="0"/>
        <c:axId val="122770384"/>
        <c:axId val="122772464"/>
      </c:lineChart>
      <c:catAx>
        <c:axId val="12277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772464"/>
        <c:crosses val="autoZero"/>
        <c:auto val="1"/>
        <c:lblAlgn val="l"/>
        <c:lblOffset val="100"/>
        <c:noMultiLvlLbl val="0"/>
      </c:catAx>
      <c:valAx>
        <c:axId val="122772464"/>
        <c:scaling>
          <c:orientation val="minMax"/>
          <c:max val="10"/>
        </c:scaling>
        <c:delete val="0"/>
        <c:axPos val="l"/>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sessions missed</a:t>
                </a:r>
              </a:p>
            </c:rich>
          </c:tx>
          <c:layout>
            <c:manualLayout>
              <c:xMode val="edge"/>
              <c:yMode val="edge"/>
              <c:x val="6.2872617993279478E-2"/>
              <c:y val="3.8705000770185389E-3"/>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770384"/>
        <c:crosses val="autoZero"/>
        <c:crossBetween val="between"/>
      </c:valAx>
      <c:spPr>
        <a:noFill/>
        <a:ln>
          <a:noFill/>
        </a:ln>
        <a:effectLst/>
      </c:spPr>
    </c:plotArea>
    <c:legend>
      <c:legendPos val="b"/>
      <c:layout>
        <c:manualLayout>
          <c:xMode val="edge"/>
          <c:yMode val="edge"/>
          <c:x val="0.77634329842303096"/>
          <c:y val="0.80052275050981614"/>
          <c:w val="0.21268112303666464"/>
          <c:h val="0.1028145993869887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965592989677484E-2"/>
          <c:y val="5.0632911392405063E-2"/>
          <c:w val="0.90923126402812215"/>
          <c:h val="0.87271170667738762"/>
        </c:manualLayout>
      </c:layout>
      <c:lineChart>
        <c:grouping val="standard"/>
        <c:varyColors val="0"/>
        <c:ser>
          <c:idx val="0"/>
          <c:order val="0"/>
          <c:tx>
            <c:strRef>
              <c:f>All_Cohorts_Girls!$A$10</c:f>
              <c:strCache>
                <c:ptCount val="1"/>
                <c:pt idx="0">
                  <c:v>White</c:v>
                </c:pt>
              </c:strCache>
            </c:strRef>
          </c:tx>
          <c:spPr>
            <a:ln w="28575" cap="rnd">
              <a:solidFill>
                <a:schemeClr val="bg1">
                  <a:lumMod val="65000"/>
                </a:schemeClr>
              </a:solidFill>
              <a:round/>
            </a:ln>
            <a:effectLst/>
          </c:spPr>
          <c:marker>
            <c:symbol val="none"/>
          </c:marker>
          <c:cat>
            <c:strRef>
              <c:f>All_Cohorts!$B$8:$AH$8</c:f>
              <c:strCache>
                <c:ptCount val="31"/>
                <c:pt idx="0">
                  <c:v>Year 1</c:v>
                </c:pt>
                <c:pt idx="3">
                  <c:v>Year 2</c:v>
                </c:pt>
                <c:pt idx="6">
                  <c:v>Year 3</c:v>
                </c:pt>
                <c:pt idx="9">
                  <c:v>Year 4</c:v>
                </c:pt>
                <c:pt idx="12">
                  <c:v>Year 5</c:v>
                </c:pt>
                <c:pt idx="15">
                  <c:v>Year 6</c:v>
                </c:pt>
                <c:pt idx="18">
                  <c:v>Year 7</c:v>
                </c:pt>
                <c:pt idx="21">
                  <c:v>Year 8</c:v>
                </c:pt>
                <c:pt idx="24">
                  <c:v>Year 9</c:v>
                </c:pt>
                <c:pt idx="27">
                  <c:v>Year 10</c:v>
                </c:pt>
                <c:pt idx="30">
                  <c:v>Year 11</c:v>
                </c:pt>
              </c:strCache>
            </c:strRef>
          </c:cat>
          <c:val>
            <c:numRef>
              <c:f>All_Cohorts_Girls!$B$10:$AH$10</c:f>
              <c:numCache>
                <c:formatCode>General</c:formatCode>
                <c:ptCount val="33"/>
                <c:pt idx="0">
                  <c:v>6.6132136011314504</c:v>
                </c:pt>
                <c:pt idx="1">
                  <c:v>7.5886917475630504</c:v>
                </c:pt>
                <c:pt idx="2">
                  <c:v>6.7204571242818396</c:v>
                </c:pt>
                <c:pt idx="3">
                  <c:v>6.5012525430647896</c:v>
                </c:pt>
                <c:pt idx="4">
                  <c:v>6.3329456000927404</c:v>
                </c:pt>
                <c:pt idx="5">
                  <c:v>5.8084839789358798</c:v>
                </c:pt>
                <c:pt idx="6">
                  <c:v>6.1571893935145896</c:v>
                </c:pt>
                <c:pt idx="7">
                  <c:v>5.9658497885003099</c:v>
                </c:pt>
                <c:pt idx="8">
                  <c:v>5.3664849088722901</c:v>
                </c:pt>
                <c:pt idx="9">
                  <c:v>5.7865633780201202</c:v>
                </c:pt>
                <c:pt idx="10">
                  <c:v>5.76851566391902</c:v>
                </c:pt>
                <c:pt idx="11">
                  <c:v>5.3585354693491603</c:v>
                </c:pt>
                <c:pt idx="12">
                  <c:v>5.7184203911733302</c:v>
                </c:pt>
                <c:pt idx="13">
                  <c:v>4.9861328453451597</c:v>
                </c:pt>
                <c:pt idx="14">
                  <c:v>5.3114901455493202</c:v>
                </c:pt>
                <c:pt idx="15">
                  <c:v>4.3172725438824404</c:v>
                </c:pt>
                <c:pt idx="16">
                  <c:v>4.6013930353883197</c:v>
                </c:pt>
                <c:pt idx="17">
                  <c:v>3.8606728449371901</c:v>
                </c:pt>
                <c:pt idx="18">
                  <c:v>5.0351431323084404</c:v>
                </c:pt>
                <c:pt idx="19">
                  <c:v>6.3737186881604497</c:v>
                </c:pt>
                <c:pt idx="20">
                  <c:v>6.1658473446541198</c:v>
                </c:pt>
                <c:pt idx="21">
                  <c:v>6.3391856579781898</c:v>
                </c:pt>
                <c:pt idx="22">
                  <c:v>6.4322580367909303</c:v>
                </c:pt>
                <c:pt idx="23">
                  <c:v>6.6887101337750998</c:v>
                </c:pt>
                <c:pt idx="24">
                  <c:v>7.7787547709084599</c:v>
                </c:pt>
                <c:pt idx="25">
                  <c:v>7.6086261639634696</c:v>
                </c:pt>
                <c:pt idx="26">
                  <c:v>7.3869865350981296</c:v>
                </c:pt>
                <c:pt idx="27">
                  <c:v>8.1333716481901703</c:v>
                </c:pt>
                <c:pt idx="28">
                  <c:v>8.8965345954554795</c:v>
                </c:pt>
                <c:pt idx="29">
                  <c:v>8.3454905137449096</c:v>
                </c:pt>
                <c:pt idx="30">
                  <c:v>9.0788261302351696</c:v>
                </c:pt>
                <c:pt idx="31">
                  <c:v>9.8030843193240003</c:v>
                </c:pt>
                <c:pt idx="32">
                  <c:v>9.8756988408416895</c:v>
                </c:pt>
              </c:numCache>
            </c:numRef>
          </c:val>
          <c:smooth val="0"/>
          <c:extLst>
            <c:ext xmlns:c16="http://schemas.microsoft.com/office/drawing/2014/chart" uri="{C3380CC4-5D6E-409C-BE32-E72D297353CC}">
              <c16:uniqueId val="{00000000-9E57-4262-803C-D7E56F92EF97}"/>
            </c:ext>
          </c:extLst>
        </c:ser>
        <c:ser>
          <c:idx val="1"/>
          <c:order val="1"/>
          <c:tx>
            <c:strRef>
              <c:f>All_Cohorts_Girls!$A$11</c:f>
              <c:strCache>
                <c:ptCount val="1"/>
                <c:pt idx="0">
                  <c:v>Asian</c:v>
                </c:pt>
              </c:strCache>
            </c:strRef>
          </c:tx>
          <c:spPr>
            <a:ln w="28575" cap="rnd">
              <a:solidFill>
                <a:schemeClr val="tx1"/>
              </a:solidFill>
              <a:prstDash val="dash"/>
              <a:round/>
            </a:ln>
            <a:effectLst/>
          </c:spPr>
          <c:marker>
            <c:symbol val="none"/>
          </c:marker>
          <c:cat>
            <c:strRef>
              <c:f>All_Cohorts!$B$8:$AH$8</c:f>
              <c:strCache>
                <c:ptCount val="31"/>
                <c:pt idx="0">
                  <c:v>Year 1</c:v>
                </c:pt>
                <c:pt idx="3">
                  <c:v>Year 2</c:v>
                </c:pt>
                <c:pt idx="6">
                  <c:v>Year 3</c:v>
                </c:pt>
                <c:pt idx="9">
                  <c:v>Year 4</c:v>
                </c:pt>
                <c:pt idx="12">
                  <c:v>Year 5</c:v>
                </c:pt>
                <c:pt idx="15">
                  <c:v>Year 6</c:v>
                </c:pt>
                <c:pt idx="18">
                  <c:v>Year 7</c:v>
                </c:pt>
                <c:pt idx="21">
                  <c:v>Year 8</c:v>
                </c:pt>
                <c:pt idx="24">
                  <c:v>Year 9</c:v>
                </c:pt>
                <c:pt idx="27">
                  <c:v>Year 10</c:v>
                </c:pt>
                <c:pt idx="30">
                  <c:v>Year 11</c:v>
                </c:pt>
              </c:strCache>
            </c:strRef>
          </c:cat>
          <c:val>
            <c:numRef>
              <c:f>All_Cohorts_Girls!$B$11:$AH$11</c:f>
              <c:numCache>
                <c:formatCode>General</c:formatCode>
                <c:ptCount val="33"/>
                <c:pt idx="0">
                  <c:v>6.5152128091245602</c:v>
                </c:pt>
                <c:pt idx="1">
                  <c:v>8.2641791027969393</c:v>
                </c:pt>
                <c:pt idx="2">
                  <c:v>5.7294829584526097</c:v>
                </c:pt>
                <c:pt idx="3">
                  <c:v>7.8899095105306101</c:v>
                </c:pt>
                <c:pt idx="4">
                  <c:v>6.35858038817479</c:v>
                </c:pt>
                <c:pt idx="5">
                  <c:v>4.6825979409735101</c:v>
                </c:pt>
                <c:pt idx="6">
                  <c:v>7.4387118833295904</c:v>
                </c:pt>
                <c:pt idx="7">
                  <c:v>5.3984794110136596</c:v>
                </c:pt>
                <c:pt idx="8">
                  <c:v>4.0413906078473998</c:v>
                </c:pt>
                <c:pt idx="9">
                  <c:v>6.0157665640361904</c:v>
                </c:pt>
                <c:pt idx="10">
                  <c:v>4.8540361948835402</c:v>
                </c:pt>
                <c:pt idx="11">
                  <c:v>4.0926405888574697</c:v>
                </c:pt>
                <c:pt idx="12">
                  <c:v>6.24770245024476</c:v>
                </c:pt>
                <c:pt idx="13">
                  <c:v>3.8347649875998799</c:v>
                </c:pt>
                <c:pt idx="14">
                  <c:v>3.5690411425633899</c:v>
                </c:pt>
                <c:pt idx="15">
                  <c:v>3.6308365452956202</c:v>
                </c:pt>
                <c:pt idx="16">
                  <c:v>3.4050046730013501</c:v>
                </c:pt>
                <c:pt idx="17">
                  <c:v>2.3302690131558301</c:v>
                </c:pt>
                <c:pt idx="18">
                  <c:v>3.9827717963628002</c:v>
                </c:pt>
                <c:pt idx="19">
                  <c:v>4.7333566960734501</c:v>
                </c:pt>
                <c:pt idx="20">
                  <c:v>3.68208018561204</c:v>
                </c:pt>
                <c:pt idx="21">
                  <c:v>5.0868316455942804</c:v>
                </c:pt>
                <c:pt idx="22">
                  <c:v>4.3165748517028302</c:v>
                </c:pt>
                <c:pt idx="23">
                  <c:v>3.8600723615628798</c:v>
                </c:pt>
                <c:pt idx="24">
                  <c:v>5.3795983027376399</c:v>
                </c:pt>
                <c:pt idx="25">
                  <c:v>4.7060009369114004</c:v>
                </c:pt>
                <c:pt idx="26">
                  <c:v>3.8937198922270899</c:v>
                </c:pt>
                <c:pt idx="27">
                  <c:v>5.1000782510806797</c:v>
                </c:pt>
                <c:pt idx="28">
                  <c:v>5.5501531745466197</c:v>
                </c:pt>
                <c:pt idx="29">
                  <c:v>4.7553516586824403</c:v>
                </c:pt>
                <c:pt idx="30">
                  <c:v>5.1061234806804103</c:v>
                </c:pt>
                <c:pt idx="31">
                  <c:v>5.1624883608898697</c:v>
                </c:pt>
                <c:pt idx="32">
                  <c:v>7.2359644065267599</c:v>
                </c:pt>
              </c:numCache>
            </c:numRef>
          </c:val>
          <c:smooth val="0"/>
          <c:extLst>
            <c:ext xmlns:c16="http://schemas.microsoft.com/office/drawing/2014/chart" uri="{C3380CC4-5D6E-409C-BE32-E72D297353CC}">
              <c16:uniqueId val="{00000001-9E57-4262-803C-D7E56F92EF97}"/>
            </c:ext>
          </c:extLst>
        </c:ser>
        <c:ser>
          <c:idx val="2"/>
          <c:order val="2"/>
          <c:tx>
            <c:strRef>
              <c:f>All_Cohorts_Girls!$A$12</c:f>
              <c:strCache>
                <c:ptCount val="1"/>
                <c:pt idx="0">
                  <c:v>Black</c:v>
                </c:pt>
              </c:strCache>
            </c:strRef>
          </c:tx>
          <c:spPr>
            <a:ln w="28575" cap="rnd">
              <a:solidFill>
                <a:schemeClr val="accent3"/>
              </a:solidFill>
              <a:prstDash val="sysDot"/>
              <a:round/>
            </a:ln>
            <a:effectLst/>
          </c:spPr>
          <c:marker>
            <c:symbol val="none"/>
          </c:marker>
          <c:cat>
            <c:strRef>
              <c:f>All_Cohorts!$B$8:$AH$8</c:f>
              <c:strCache>
                <c:ptCount val="31"/>
                <c:pt idx="0">
                  <c:v>Year 1</c:v>
                </c:pt>
                <c:pt idx="3">
                  <c:v>Year 2</c:v>
                </c:pt>
                <c:pt idx="6">
                  <c:v>Year 3</c:v>
                </c:pt>
                <c:pt idx="9">
                  <c:v>Year 4</c:v>
                </c:pt>
                <c:pt idx="12">
                  <c:v>Year 5</c:v>
                </c:pt>
                <c:pt idx="15">
                  <c:v>Year 6</c:v>
                </c:pt>
                <c:pt idx="18">
                  <c:v>Year 7</c:v>
                </c:pt>
                <c:pt idx="21">
                  <c:v>Year 8</c:v>
                </c:pt>
                <c:pt idx="24">
                  <c:v>Year 9</c:v>
                </c:pt>
                <c:pt idx="27">
                  <c:v>Year 10</c:v>
                </c:pt>
                <c:pt idx="30">
                  <c:v>Year 11</c:v>
                </c:pt>
              </c:strCache>
            </c:strRef>
          </c:cat>
          <c:val>
            <c:numRef>
              <c:f>All_Cohorts_Girls!$B$12:$AH$12</c:f>
              <c:numCache>
                <c:formatCode>General</c:formatCode>
                <c:ptCount val="33"/>
                <c:pt idx="0">
                  <c:v>4.9271031796855498</c:v>
                </c:pt>
                <c:pt idx="1">
                  <c:v>5.8908741556329201</c:v>
                </c:pt>
                <c:pt idx="2">
                  <c:v>4.1564852693098597</c:v>
                </c:pt>
                <c:pt idx="3">
                  <c:v>5.5026067557014899</c:v>
                </c:pt>
                <c:pt idx="4">
                  <c:v>4.1049284989631696</c:v>
                </c:pt>
                <c:pt idx="5">
                  <c:v>3.35930327567208</c:v>
                </c:pt>
                <c:pt idx="6">
                  <c:v>5.1241673853226102</c:v>
                </c:pt>
                <c:pt idx="7">
                  <c:v>4.2247467926345497</c:v>
                </c:pt>
                <c:pt idx="8">
                  <c:v>2.9213058478188501</c:v>
                </c:pt>
                <c:pt idx="9">
                  <c:v>4.2559407391544903</c:v>
                </c:pt>
                <c:pt idx="10">
                  <c:v>3.84731522066234</c:v>
                </c:pt>
                <c:pt idx="11">
                  <c:v>2.9040323636289802</c:v>
                </c:pt>
                <c:pt idx="12">
                  <c:v>4.16001724506663</c:v>
                </c:pt>
                <c:pt idx="13">
                  <c:v>2.7489309492726401</c:v>
                </c:pt>
                <c:pt idx="14">
                  <c:v>2.6044163808006902</c:v>
                </c:pt>
                <c:pt idx="15">
                  <c:v>2.3572281031492301</c:v>
                </c:pt>
                <c:pt idx="16">
                  <c:v>2.41637675994148</c:v>
                </c:pt>
                <c:pt idx="17">
                  <c:v>1.7827192025168599</c:v>
                </c:pt>
                <c:pt idx="18">
                  <c:v>2.7159533095888202</c:v>
                </c:pt>
                <c:pt idx="19">
                  <c:v>3.44971684836556</c:v>
                </c:pt>
                <c:pt idx="20">
                  <c:v>3.1972095749234999</c:v>
                </c:pt>
                <c:pt idx="21">
                  <c:v>3.5812700863751799</c:v>
                </c:pt>
                <c:pt idx="22">
                  <c:v>3.2668545684944901</c:v>
                </c:pt>
                <c:pt idx="23">
                  <c:v>3.3087965762922402</c:v>
                </c:pt>
                <c:pt idx="24">
                  <c:v>3.9428086929199999</c:v>
                </c:pt>
                <c:pt idx="25">
                  <c:v>4.0240310976925304</c:v>
                </c:pt>
                <c:pt idx="26">
                  <c:v>3.8007895264895</c:v>
                </c:pt>
                <c:pt idx="27">
                  <c:v>4.3241113393148103</c:v>
                </c:pt>
                <c:pt idx="28">
                  <c:v>5.1094499018917796</c:v>
                </c:pt>
                <c:pt idx="29">
                  <c:v>4.82504913136182</c:v>
                </c:pt>
                <c:pt idx="30">
                  <c:v>5.0694057171494604</c:v>
                </c:pt>
                <c:pt idx="31">
                  <c:v>5.4639279035795099</c:v>
                </c:pt>
                <c:pt idx="32">
                  <c:v>7.6844566078242096</c:v>
                </c:pt>
              </c:numCache>
            </c:numRef>
          </c:val>
          <c:smooth val="0"/>
          <c:extLst>
            <c:ext xmlns:c16="http://schemas.microsoft.com/office/drawing/2014/chart" uri="{C3380CC4-5D6E-409C-BE32-E72D297353CC}">
              <c16:uniqueId val="{00000002-9E57-4262-803C-D7E56F92EF97}"/>
            </c:ext>
          </c:extLst>
        </c:ser>
        <c:ser>
          <c:idx val="3"/>
          <c:order val="3"/>
          <c:tx>
            <c:strRef>
              <c:f>All_Cohorts_Girls!$A$13</c:f>
              <c:strCache>
                <c:ptCount val="1"/>
                <c:pt idx="0">
                  <c:v>Mixed</c:v>
                </c:pt>
              </c:strCache>
            </c:strRef>
          </c:tx>
          <c:spPr>
            <a:ln w="28575" cap="rnd">
              <a:solidFill>
                <a:schemeClr val="bg1">
                  <a:lumMod val="65000"/>
                </a:schemeClr>
              </a:solidFill>
              <a:prstDash val="sysDash"/>
              <a:round/>
            </a:ln>
            <a:effectLst/>
          </c:spPr>
          <c:marker>
            <c:symbol val="none"/>
          </c:marker>
          <c:cat>
            <c:strRef>
              <c:f>All_Cohorts!$B$8:$AH$8</c:f>
              <c:strCache>
                <c:ptCount val="31"/>
                <c:pt idx="0">
                  <c:v>Year 1</c:v>
                </c:pt>
                <c:pt idx="3">
                  <c:v>Year 2</c:v>
                </c:pt>
                <c:pt idx="6">
                  <c:v>Year 3</c:v>
                </c:pt>
                <c:pt idx="9">
                  <c:v>Year 4</c:v>
                </c:pt>
                <c:pt idx="12">
                  <c:v>Year 5</c:v>
                </c:pt>
                <c:pt idx="15">
                  <c:v>Year 6</c:v>
                </c:pt>
                <c:pt idx="18">
                  <c:v>Year 7</c:v>
                </c:pt>
                <c:pt idx="21">
                  <c:v>Year 8</c:v>
                </c:pt>
                <c:pt idx="24">
                  <c:v>Year 9</c:v>
                </c:pt>
                <c:pt idx="27">
                  <c:v>Year 10</c:v>
                </c:pt>
                <c:pt idx="30">
                  <c:v>Year 11</c:v>
                </c:pt>
              </c:strCache>
            </c:strRef>
          </c:cat>
          <c:val>
            <c:numRef>
              <c:f>All_Cohorts_Girls!$B$13:$AH$13</c:f>
              <c:numCache>
                <c:formatCode>General</c:formatCode>
                <c:ptCount val="33"/>
                <c:pt idx="0">
                  <c:v>6.5045128533410201</c:v>
                </c:pt>
                <c:pt idx="1">
                  <c:v>7.4728957300090197</c:v>
                </c:pt>
                <c:pt idx="2">
                  <c:v>6.0062187758227799</c:v>
                </c:pt>
                <c:pt idx="3">
                  <c:v>6.4695194673143703</c:v>
                </c:pt>
                <c:pt idx="4">
                  <c:v>6.24688677123725</c:v>
                </c:pt>
                <c:pt idx="5">
                  <c:v>4.9225297267997004</c:v>
                </c:pt>
                <c:pt idx="6">
                  <c:v>6.2789907884877199</c:v>
                </c:pt>
                <c:pt idx="7">
                  <c:v>5.96827618186565</c:v>
                </c:pt>
                <c:pt idx="8">
                  <c:v>5.0388399697444299</c:v>
                </c:pt>
                <c:pt idx="9">
                  <c:v>5.6874669289014701</c:v>
                </c:pt>
                <c:pt idx="10">
                  <c:v>6.4678840880140003</c:v>
                </c:pt>
                <c:pt idx="11">
                  <c:v>5.01929820463564</c:v>
                </c:pt>
                <c:pt idx="12">
                  <c:v>5.51912511243916</c:v>
                </c:pt>
                <c:pt idx="13">
                  <c:v>4.8859287887190801</c:v>
                </c:pt>
                <c:pt idx="14">
                  <c:v>4.5897617648368101</c:v>
                </c:pt>
                <c:pt idx="15">
                  <c:v>3.8004445492027901</c:v>
                </c:pt>
                <c:pt idx="16">
                  <c:v>4.1970021800475701</c:v>
                </c:pt>
                <c:pt idx="17">
                  <c:v>3.2596677956637001</c:v>
                </c:pt>
                <c:pt idx="18">
                  <c:v>4.5456962905051697</c:v>
                </c:pt>
                <c:pt idx="19">
                  <c:v>5.5502147751287296</c:v>
                </c:pt>
                <c:pt idx="20">
                  <c:v>4.7994489810930503</c:v>
                </c:pt>
                <c:pt idx="21">
                  <c:v>5.2535151681850003</c:v>
                </c:pt>
                <c:pt idx="22">
                  <c:v>5.6608214241030401</c:v>
                </c:pt>
                <c:pt idx="23">
                  <c:v>5.7670246115876198</c:v>
                </c:pt>
                <c:pt idx="24">
                  <c:v>7.0428141060624201</c:v>
                </c:pt>
                <c:pt idx="25">
                  <c:v>6.9850694326585598</c:v>
                </c:pt>
                <c:pt idx="26">
                  <c:v>6.7323168422812696</c:v>
                </c:pt>
                <c:pt idx="27">
                  <c:v>7.0286585681359801</c:v>
                </c:pt>
                <c:pt idx="28">
                  <c:v>8.5051386418514507</c:v>
                </c:pt>
                <c:pt idx="29">
                  <c:v>7.8454641497811801</c:v>
                </c:pt>
                <c:pt idx="30">
                  <c:v>8.1398623240813404</c:v>
                </c:pt>
                <c:pt idx="31">
                  <c:v>9.0425672832606203</c:v>
                </c:pt>
                <c:pt idx="32">
                  <c:v>10.0642324741638</c:v>
                </c:pt>
              </c:numCache>
            </c:numRef>
          </c:val>
          <c:smooth val="0"/>
          <c:extLst>
            <c:ext xmlns:c16="http://schemas.microsoft.com/office/drawing/2014/chart" uri="{C3380CC4-5D6E-409C-BE32-E72D297353CC}">
              <c16:uniqueId val="{00000003-9E57-4262-803C-D7E56F92EF97}"/>
            </c:ext>
          </c:extLst>
        </c:ser>
        <c:dLbls>
          <c:showLegendKey val="0"/>
          <c:showVal val="0"/>
          <c:showCatName val="0"/>
          <c:showSerName val="0"/>
          <c:showPercent val="0"/>
          <c:showBubbleSize val="0"/>
        </c:dLbls>
        <c:smooth val="0"/>
        <c:axId val="122770384"/>
        <c:axId val="122772464"/>
      </c:lineChart>
      <c:catAx>
        <c:axId val="12277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772464"/>
        <c:crosses val="autoZero"/>
        <c:auto val="1"/>
        <c:lblAlgn val="l"/>
        <c:lblOffset val="100"/>
        <c:noMultiLvlLbl val="0"/>
      </c:catAx>
      <c:valAx>
        <c:axId val="122772464"/>
        <c:scaling>
          <c:orientation val="minMax"/>
          <c:max val="10"/>
        </c:scaling>
        <c:delete val="0"/>
        <c:axPos val="l"/>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sessions missed</a:t>
                </a:r>
              </a:p>
            </c:rich>
          </c:tx>
          <c:layout>
            <c:manualLayout>
              <c:xMode val="edge"/>
              <c:yMode val="edge"/>
              <c:x val="6.2872617993279478E-2"/>
              <c:y val="3.8705000770185389E-3"/>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770384"/>
        <c:crosses val="autoZero"/>
        <c:crossBetween val="between"/>
      </c:valAx>
      <c:spPr>
        <a:noFill/>
        <a:ln>
          <a:noFill/>
        </a:ln>
        <a:effectLst/>
      </c:spPr>
    </c:plotArea>
    <c:legend>
      <c:legendPos val="b"/>
      <c:layout>
        <c:manualLayout>
          <c:xMode val="edge"/>
          <c:yMode val="edge"/>
          <c:x val="0.66631580736309459"/>
          <c:y val="0.80052275050981614"/>
          <c:w val="0.32270860180412375"/>
          <c:h val="0.1028145993869887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965592989677484E-2"/>
          <c:y val="5.0632911392405063E-2"/>
          <c:w val="0.90923126402812215"/>
          <c:h val="0.87271170667738762"/>
        </c:manualLayout>
      </c:layout>
      <c:lineChart>
        <c:grouping val="standard"/>
        <c:varyColors val="0"/>
        <c:ser>
          <c:idx val="0"/>
          <c:order val="0"/>
          <c:tx>
            <c:strRef>
              <c:f>All_Cohorts!$A$10</c:f>
              <c:strCache>
                <c:ptCount val="1"/>
                <c:pt idx="0">
                  <c:v>High achieving, high SES</c:v>
                </c:pt>
              </c:strCache>
            </c:strRef>
          </c:tx>
          <c:spPr>
            <a:ln w="28575" cap="rnd">
              <a:solidFill>
                <a:schemeClr val="bg1">
                  <a:lumMod val="65000"/>
                </a:schemeClr>
              </a:solidFill>
              <a:round/>
            </a:ln>
            <a:effectLst/>
          </c:spPr>
          <c:marker>
            <c:symbol val="none"/>
          </c:marker>
          <c:cat>
            <c:strRef>
              <c:f>All_Cohorts!$H$8:$L$8</c:f>
              <c:strCache>
                <c:ptCount val="5"/>
                <c:pt idx="0">
                  <c:v>Year 7</c:v>
                </c:pt>
                <c:pt idx="1">
                  <c:v>Year 8</c:v>
                </c:pt>
                <c:pt idx="2">
                  <c:v>Year 9</c:v>
                </c:pt>
                <c:pt idx="3">
                  <c:v>Year 10</c:v>
                </c:pt>
                <c:pt idx="4">
                  <c:v>Year 11</c:v>
                </c:pt>
              </c:strCache>
            </c:strRef>
          </c:cat>
          <c:val>
            <c:numRef>
              <c:f>All_Cohorts!$H$10:$L$10</c:f>
              <c:numCache>
                <c:formatCode>0.0</c:formatCode>
                <c:ptCount val="5"/>
                <c:pt idx="0">
                  <c:v>0.20302352956736799</c:v>
                </c:pt>
                <c:pt idx="1">
                  <c:v>0.34917401827873001</c:v>
                </c:pt>
                <c:pt idx="2">
                  <c:v>0.527067599560887</c:v>
                </c:pt>
                <c:pt idx="3">
                  <c:v>1.1606068221196399</c:v>
                </c:pt>
                <c:pt idx="4">
                  <c:v>0.87954818998240891</c:v>
                </c:pt>
              </c:numCache>
            </c:numRef>
          </c:val>
          <c:smooth val="0"/>
          <c:extLst>
            <c:ext xmlns:c16="http://schemas.microsoft.com/office/drawing/2014/chart" uri="{C3380CC4-5D6E-409C-BE32-E72D297353CC}">
              <c16:uniqueId val="{00000000-C5F9-4C17-A07F-46C4DD2E5577}"/>
            </c:ext>
          </c:extLst>
        </c:ser>
        <c:ser>
          <c:idx val="1"/>
          <c:order val="1"/>
          <c:tx>
            <c:strRef>
              <c:f>All_Cohorts!$A$11</c:f>
              <c:strCache>
                <c:ptCount val="1"/>
                <c:pt idx="0">
                  <c:v>High achieving, low SES</c:v>
                </c:pt>
              </c:strCache>
            </c:strRef>
          </c:tx>
          <c:spPr>
            <a:ln w="28575" cap="rnd">
              <a:solidFill>
                <a:schemeClr val="tx1"/>
              </a:solidFill>
              <a:prstDash val="dash"/>
              <a:round/>
            </a:ln>
            <a:effectLst/>
          </c:spPr>
          <c:marker>
            <c:symbol val="none"/>
          </c:marker>
          <c:cat>
            <c:strRef>
              <c:f>All_Cohorts!$H$8:$L$8</c:f>
              <c:strCache>
                <c:ptCount val="5"/>
                <c:pt idx="0">
                  <c:v>Year 7</c:v>
                </c:pt>
                <c:pt idx="1">
                  <c:v>Year 8</c:v>
                </c:pt>
                <c:pt idx="2">
                  <c:v>Year 9</c:v>
                </c:pt>
                <c:pt idx="3">
                  <c:v>Year 10</c:v>
                </c:pt>
                <c:pt idx="4">
                  <c:v>Year 11</c:v>
                </c:pt>
              </c:strCache>
            </c:strRef>
          </c:cat>
          <c:val>
            <c:numRef>
              <c:f>All_Cohorts!$H$11:$L$11</c:f>
              <c:numCache>
                <c:formatCode>0.0</c:formatCode>
                <c:ptCount val="5"/>
                <c:pt idx="0">
                  <c:v>1.4639725505146699</c:v>
                </c:pt>
                <c:pt idx="1">
                  <c:v>2.17117804041174</c:v>
                </c:pt>
                <c:pt idx="2">
                  <c:v>2.92794510102935</c:v>
                </c:pt>
                <c:pt idx="3">
                  <c:v>5.4212733511246602</c:v>
                </c:pt>
                <c:pt idx="4">
                  <c:v>3.5379336637438001</c:v>
                </c:pt>
              </c:numCache>
            </c:numRef>
          </c:val>
          <c:smooth val="0"/>
          <c:extLst>
            <c:ext xmlns:c16="http://schemas.microsoft.com/office/drawing/2014/chart" uri="{C3380CC4-5D6E-409C-BE32-E72D297353CC}">
              <c16:uniqueId val="{00000001-C5F9-4C17-A07F-46C4DD2E5577}"/>
            </c:ext>
          </c:extLst>
        </c:ser>
        <c:ser>
          <c:idx val="2"/>
          <c:order val="2"/>
          <c:tx>
            <c:strRef>
              <c:f>All_Cohorts!$A$12</c:f>
              <c:strCache>
                <c:ptCount val="1"/>
                <c:pt idx="0">
                  <c:v>High achieving, Q2 SES</c:v>
                </c:pt>
              </c:strCache>
            </c:strRef>
          </c:tx>
          <c:spPr>
            <a:ln w="28575" cap="rnd">
              <a:solidFill>
                <a:schemeClr val="accent3"/>
              </a:solidFill>
              <a:prstDash val="sysDot"/>
              <a:round/>
            </a:ln>
            <a:effectLst/>
          </c:spPr>
          <c:marker>
            <c:symbol val="none"/>
          </c:marker>
          <c:cat>
            <c:strRef>
              <c:f>All_Cohorts!$H$8:$L$8</c:f>
              <c:strCache>
                <c:ptCount val="5"/>
                <c:pt idx="0">
                  <c:v>Year 7</c:v>
                </c:pt>
                <c:pt idx="1">
                  <c:v>Year 8</c:v>
                </c:pt>
                <c:pt idx="2">
                  <c:v>Year 9</c:v>
                </c:pt>
                <c:pt idx="3">
                  <c:v>Year 10</c:v>
                </c:pt>
                <c:pt idx="4">
                  <c:v>Year 11</c:v>
                </c:pt>
              </c:strCache>
            </c:strRef>
          </c:cat>
          <c:val>
            <c:numRef>
              <c:f>All_Cohorts!$H$12:$L$12</c:f>
              <c:numCache>
                <c:formatCode>0.0</c:formatCode>
                <c:ptCount val="5"/>
                <c:pt idx="0">
                  <c:v>0.66101486669123899</c:v>
                </c:pt>
                <c:pt idx="1">
                  <c:v>1.0885858213539701</c:v>
                </c:pt>
                <c:pt idx="2">
                  <c:v>1.4670106892738601</c:v>
                </c:pt>
                <c:pt idx="3">
                  <c:v>2.7349797272392102</c:v>
                </c:pt>
                <c:pt idx="4">
                  <c:v>2.0346479911537001</c:v>
                </c:pt>
              </c:numCache>
            </c:numRef>
          </c:val>
          <c:smooth val="0"/>
          <c:extLst>
            <c:ext xmlns:c16="http://schemas.microsoft.com/office/drawing/2014/chart" uri="{C3380CC4-5D6E-409C-BE32-E72D297353CC}">
              <c16:uniqueId val="{00000002-C5F9-4C17-A07F-46C4DD2E5577}"/>
            </c:ext>
          </c:extLst>
        </c:ser>
        <c:ser>
          <c:idx val="3"/>
          <c:order val="3"/>
          <c:tx>
            <c:strRef>
              <c:f>All_Cohorts!$A$13</c:f>
              <c:strCache>
                <c:ptCount val="1"/>
                <c:pt idx="0">
                  <c:v>High achieving, Q3 SES</c:v>
                </c:pt>
              </c:strCache>
            </c:strRef>
          </c:tx>
          <c:spPr>
            <a:ln w="28575" cap="rnd">
              <a:solidFill>
                <a:schemeClr val="bg1">
                  <a:lumMod val="65000"/>
                </a:schemeClr>
              </a:solidFill>
              <a:prstDash val="sysDash"/>
              <a:round/>
            </a:ln>
            <a:effectLst/>
          </c:spPr>
          <c:marker>
            <c:symbol val="none"/>
          </c:marker>
          <c:cat>
            <c:strRef>
              <c:f>All_Cohorts!$H$8:$L$8</c:f>
              <c:strCache>
                <c:ptCount val="5"/>
                <c:pt idx="0">
                  <c:v>Year 7</c:v>
                </c:pt>
                <c:pt idx="1">
                  <c:v>Year 8</c:v>
                </c:pt>
                <c:pt idx="2">
                  <c:v>Year 9</c:v>
                </c:pt>
                <c:pt idx="3">
                  <c:v>Year 10</c:v>
                </c:pt>
                <c:pt idx="4">
                  <c:v>Year 11</c:v>
                </c:pt>
              </c:strCache>
            </c:strRef>
          </c:cat>
          <c:val>
            <c:numRef>
              <c:f>All_Cohorts!$H$13:$L$13</c:f>
              <c:numCache>
                <c:formatCode>0.0</c:formatCode>
                <c:ptCount val="5"/>
                <c:pt idx="0">
                  <c:v>0.396590003898106</c:v>
                </c:pt>
                <c:pt idx="1">
                  <c:v>0.64827212175651994</c:v>
                </c:pt>
                <c:pt idx="2">
                  <c:v>0.86690507262342598</c:v>
                </c:pt>
                <c:pt idx="3">
                  <c:v>1.8787180312865401</c:v>
                </c:pt>
                <c:pt idx="4">
                  <c:v>1.49653407453858</c:v>
                </c:pt>
              </c:numCache>
            </c:numRef>
          </c:val>
          <c:smooth val="0"/>
          <c:extLst>
            <c:ext xmlns:c16="http://schemas.microsoft.com/office/drawing/2014/chart" uri="{C3380CC4-5D6E-409C-BE32-E72D297353CC}">
              <c16:uniqueId val="{00000003-C5F9-4C17-A07F-46C4DD2E5577}"/>
            </c:ext>
          </c:extLst>
        </c:ser>
        <c:dLbls>
          <c:showLegendKey val="0"/>
          <c:showVal val="0"/>
          <c:showCatName val="0"/>
          <c:showSerName val="0"/>
          <c:showPercent val="0"/>
          <c:showBubbleSize val="0"/>
        </c:dLbls>
        <c:smooth val="0"/>
        <c:axId val="122770384"/>
        <c:axId val="122772464"/>
      </c:lineChart>
      <c:catAx>
        <c:axId val="12277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22772464"/>
        <c:crosses val="autoZero"/>
        <c:auto val="1"/>
        <c:lblAlgn val="ctr"/>
        <c:lblOffset val="100"/>
        <c:noMultiLvlLbl val="0"/>
      </c:catAx>
      <c:valAx>
        <c:axId val="122772464"/>
        <c:scaling>
          <c:orientation val="minMax"/>
          <c:max val="7"/>
        </c:scaling>
        <c:delete val="0"/>
        <c:axPos val="l"/>
        <c:title>
          <c:tx>
            <c:rich>
              <a:bodyPr rot="0" spcFirstLastPara="1" vertOverflow="ellipsis"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a:t>% recieve fixed exclusion</a:t>
                </a:r>
              </a:p>
            </c:rich>
          </c:tx>
          <c:layout>
            <c:manualLayout>
              <c:xMode val="edge"/>
              <c:yMode val="edge"/>
              <c:x val="6.2872595585453508E-2"/>
              <c:y val="3.2314951582865702E-2"/>
            </c:manualLayout>
          </c:layout>
          <c:overlay val="0"/>
          <c:spPr>
            <a:noFill/>
            <a:ln>
              <a:noFill/>
            </a:ln>
            <a:effectLst/>
          </c:spPr>
          <c:txPr>
            <a:bodyPr rot="0" spcFirstLastPara="1" vertOverflow="ellipsis"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22770384"/>
        <c:crosses val="autoZero"/>
        <c:crossBetween val="between"/>
      </c:valAx>
      <c:spPr>
        <a:noFill/>
        <a:ln>
          <a:noFill/>
        </a:ln>
        <a:effectLst/>
      </c:spPr>
    </c:plotArea>
    <c:legend>
      <c:legendPos val="b"/>
      <c:layout>
        <c:manualLayout>
          <c:xMode val="edge"/>
          <c:yMode val="edge"/>
          <c:x val="0.56446454228831633"/>
          <c:y val="1.2062477616306943E-2"/>
          <c:w val="0.43277653582392522"/>
          <c:h val="0.1984927892981987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965592989677484E-2"/>
          <c:y val="5.0632911392405063E-2"/>
          <c:w val="0.90923126402812215"/>
          <c:h val="0.87271170667738762"/>
        </c:manualLayout>
      </c:layout>
      <c:lineChart>
        <c:grouping val="standard"/>
        <c:varyColors val="0"/>
        <c:ser>
          <c:idx val="0"/>
          <c:order val="0"/>
          <c:tx>
            <c:strRef>
              <c:f>All_Cohorts_Boys!$A$10</c:f>
              <c:strCache>
                <c:ptCount val="1"/>
                <c:pt idx="0">
                  <c:v>White</c:v>
                </c:pt>
              </c:strCache>
            </c:strRef>
          </c:tx>
          <c:spPr>
            <a:ln w="28575" cap="rnd">
              <a:solidFill>
                <a:schemeClr val="bg1">
                  <a:lumMod val="65000"/>
                </a:schemeClr>
              </a:solidFill>
              <a:round/>
            </a:ln>
            <a:effectLst/>
          </c:spPr>
          <c:marker>
            <c:symbol val="none"/>
          </c:marker>
          <c:cat>
            <c:strRef>
              <c:f>All_Cohorts!$H$8:$L$8</c:f>
              <c:strCache>
                <c:ptCount val="5"/>
                <c:pt idx="0">
                  <c:v>Year 7</c:v>
                </c:pt>
                <c:pt idx="1">
                  <c:v>Year 8</c:v>
                </c:pt>
                <c:pt idx="2">
                  <c:v>Year 9</c:v>
                </c:pt>
                <c:pt idx="3">
                  <c:v>Year 10</c:v>
                </c:pt>
                <c:pt idx="4">
                  <c:v>Year 11</c:v>
                </c:pt>
              </c:strCache>
              <c:extLst/>
            </c:strRef>
          </c:cat>
          <c:val>
            <c:numRef>
              <c:f>All_Cohorts_Boys!$H$10:$L$10</c:f>
              <c:numCache>
                <c:formatCode>General</c:formatCode>
                <c:ptCount val="5"/>
                <c:pt idx="0">
                  <c:v>2.0739181576177801</c:v>
                </c:pt>
                <c:pt idx="1">
                  <c:v>2.9653934253698999</c:v>
                </c:pt>
                <c:pt idx="2">
                  <c:v>3.38636785736395</c:v>
                </c:pt>
                <c:pt idx="3">
                  <c:v>7.1813285457809695</c:v>
                </c:pt>
                <c:pt idx="4">
                  <c:v>5.0826471862811795</c:v>
                </c:pt>
              </c:numCache>
              <c:extLst/>
            </c:numRef>
          </c:val>
          <c:smooth val="0"/>
          <c:extLst>
            <c:ext xmlns:c16="http://schemas.microsoft.com/office/drawing/2014/chart" uri="{C3380CC4-5D6E-409C-BE32-E72D297353CC}">
              <c16:uniqueId val="{00000000-BF33-49CA-97AA-5FD6E590140C}"/>
            </c:ext>
          </c:extLst>
        </c:ser>
        <c:ser>
          <c:idx val="1"/>
          <c:order val="1"/>
          <c:tx>
            <c:strRef>
              <c:f>All_Cohorts_Boys!$A$11</c:f>
              <c:strCache>
                <c:ptCount val="1"/>
                <c:pt idx="0">
                  <c:v>Asian</c:v>
                </c:pt>
              </c:strCache>
            </c:strRef>
          </c:tx>
          <c:spPr>
            <a:ln w="28575" cap="rnd">
              <a:solidFill>
                <a:schemeClr val="tx1"/>
              </a:solidFill>
              <a:prstDash val="dash"/>
              <a:round/>
            </a:ln>
            <a:effectLst/>
          </c:spPr>
          <c:marker>
            <c:symbol val="none"/>
          </c:marker>
          <c:cat>
            <c:strRef>
              <c:f>All_Cohorts!$H$8:$L$8</c:f>
              <c:strCache>
                <c:ptCount val="5"/>
                <c:pt idx="0">
                  <c:v>Year 7</c:v>
                </c:pt>
                <c:pt idx="1">
                  <c:v>Year 8</c:v>
                </c:pt>
                <c:pt idx="2">
                  <c:v>Year 9</c:v>
                </c:pt>
                <c:pt idx="3">
                  <c:v>Year 10</c:v>
                </c:pt>
                <c:pt idx="4">
                  <c:v>Year 11</c:v>
                </c:pt>
              </c:strCache>
              <c:extLst/>
            </c:strRef>
          </c:cat>
          <c:val>
            <c:numRef>
              <c:f>All_Cohorts_Boys!$H$11:$L$11</c:f>
              <c:numCache>
                <c:formatCode>General</c:formatCode>
                <c:ptCount val="5"/>
                <c:pt idx="0">
                  <c:v>1.41235114926613</c:v>
                </c:pt>
                <c:pt idx="1">
                  <c:v>1.9385211852672299</c:v>
                </c:pt>
                <c:pt idx="2">
                  <c:v>3.04624757684851</c:v>
                </c:pt>
                <c:pt idx="3">
                  <c:v>6.2586541124342201</c:v>
                </c:pt>
                <c:pt idx="4">
                  <c:v>3.7108834117972798</c:v>
                </c:pt>
              </c:numCache>
              <c:extLst/>
            </c:numRef>
          </c:val>
          <c:smooth val="0"/>
          <c:extLst>
            <c:ext xmlns:c16="http://schemas.microsoft.com/office/drawing/2014/chart" uri="{C3380CC4-5D6E-409C-BE32-E72D297353CC}">
              <c16:uniqueId val="{00000001-BF33-49CA-97AA-5FD6E590140C}"/>
            </c:ext>
          </c:extLst>
        </c:ser>
        <c:ser>
          <c:idx val="2"/>
          <c:order val="2"/>
          <c:tx>
            <c:strRef>
              <c:f>All_Cohorts_Boys!$A$12</c:f>
              <c:strCache>
                <c:ptCount val="1"/>
                <c:pt idx="0">
                  <c:v>Black</c:v>
                </c:pt>
              </c:strCache>
            </c:strRef>
          </c:tx>
          <c:spPr>
            <a:ln w="28575" cap="rnd">
              <a:solidFill>
                <a:schemeClr val="accent3"/>
              </a:solidFill>
              <a:prstDash val="sysDot"/>
              <a:round/>
            </a:ln>
            <a:effectLst/>
          </c:spPr>
          <c:marker>
            <c:symbol val="none"/>
          </c:marker>
          <c:cat>
            <c:strRef>
              <c:f>All_Cohorts!$H$8:$L$8</c:f>
              <c:strCache>
                <c:ptCount val="5"/>
                <c:pt idx="0">
                  <c:v>Year 7</c:v>
                </c:pt>
                <c:pt idx="1">
                  <c:v>Year 8</c:v>
                </c:pt>
                <c:pt idx="2">
                  <c:v>Year 9</c:v>
                </c:pt>
                <c:pt idx="3">
                  <c:v>Year 10</c:v>
                </c:pt>
                <c:pt idx="4">
                  <c:v>Year 11</c:v>
                </c:pt>
              </c:strCache>
              <c:extLst/>
            </c:strRef>
          </c:cat>
          <c:val>
            <c:numRef>
              <c:f>All_Cohorts_Boys!$H$12:$L$12</c:f>
              <c:numCache>
                <c:formatCode>General</c:formatCode>
                <c:ptCount val="5"/>
                <c:pt idx="0">
                  <c:v>4.1261010662957798</c:v>
                </c:pt>
                <c:pt idx="1">
                  <c:v>4.7751506722299402</c:v>
                </c:pt>
                <c:pt idx="2">
                  <c:v>6.9541029207232192</c:v>
                </c:pt>
                <c:pt idx="3">
                  <c:v>10.709318497913699</c:v>
                </c:pt>
                <c:pt idx="4">
                  <c:v>7.5104311543810791</c:v>
                </c:pt>
              </c:numCache>
              <c:extLst/>
            </c:numRef>
          </c:val>
          <c:smooth val="0"/>
          <c:extLst>
            <c:ext xmlns:c16="http://schemas.microsoft.com/office/drawing/2014/chart" uri="{C3380CC4-5D6E-409C-BE32-E72D297353CC}">
              <c16:uniqueId val="{00000002-BF33-49CA-97AA-5FD6E590140C}"/>
            </c:ext>
          </c:extLst>
        </c:ser>
        <c:ser>
          <c:idx val="3"/>
          <c:order val="3"/>
          <c:tx>
            <c:strRef>
              <c:f>All_Cohorts_Boys!$A$13</c:f>
              <c:strCache>
                <c:ptCount val="1"/>
                <c:pt idx="0">
                  <c:v>Mixed</c:v>
                </c:pt>
              </c:strCache>
            </c:strRef>
          </c:tx>
          <c:spPr>
            <a:ln w="28575" cap="rnd">
              <a:solidFill>
                <a:schemeClr val="bg1">
                  <a:lumMod val="65000"/>
                </a:schemeClr>
              </a:solidFill>
              <a:prstDash val="sysDash"/>
              <a:round/>
            </a:ln>
            <a:effectLst/>
          </c:spPr>
          <c:marker>
            <c:symbol val="none"/>
          </c:marker>
          <c:cat>
            <c:strRef>
              <c:f>All_Cohorts!$H$8:$L$8</c:f>
              <c:strCache>
                <c:ptCount val="5"/>
                <c:pt idx="0">
                  <c:v>Year 7</c:v>
                </c:pt>
                <c:pt idx="1">
                  <c:v>Year 8</c:v>
                </c:pt>
                <c:pt idx="2">
                  <c:v>Year 9</c:v>
                </c:pt>
                <c:pt idx="3">
                  <c:v>Year 10</c:v>
                </c:pt>
                <c:pt idx="4">
                  <c:v>Year 11</c:v>
                </c:pt>
              </c:strCache>
              <c:extLst/>
            </c:strRef>
          </c:cat>
          <c:val>
            <c:numRef>
              <c:f>All_Cohorts_Boys!$H$13:$L$13</c:f>
              <c:numCache>
                <c:formatCode>General</c:formatCode>
                <c:ptCount val="5"/>
                <c:pt idx="0">
                  <c:v>4.1368337311058001</c:v>
                </c:pt>
                <c:pt idx="1">
                  <c:v>4.6141607000795499</c:v>
                </c:pt>
                <c:pt idx="2">
                  <c:v>5.2505966587112107</c:v>
                </c:pt>
                <c:pt idx="3">
                  <c:v>9.6260938743038906</c:v>
                </c:pt>
                <c:pt idx="4">
                  <c:v>6.6030230708035003</c:v>
                </c:pt>
              </c:numCache>
              <c:extLst/>
            </c:numRef>
          </c:val>
          <c:smooth val="0"/>
          <c:extLst>
            <c:ext xmlns:c16="http://schemas.microsoft.com/office/drawing/2014/chart" uri="{C3380CC4-5D6E-409C-BE32-E72D297353CC}">
              <c16:uniqueId val="{00000003-BF33-49CA-97AA-5FD6E590140C}"/>
            </c:ext>
          </c:extLst>
        </c:ser>
        <c:dLbls>
          <c:showLegendKey val="0"/>
          <c:showVal val="0"/>
          <c:showCatName val="0"/>
          <c:showSerName val="0"/>
          <c:showPercent val="0"/>
          <c:showBubbleSize val="0"/>
        </c:dLbls>
        <c:smooth val="0"/>
        <c:axId val="122770384"/>
        <c:axId val="122772464"/>
      </c:lineChart>
      <c:catAx>
        <c:axId val="12277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22772464"/>
        <c:crosses val="autoZero"/>
        <c:auto val="1"/>
        <c:lblAlgn val="ctr"/>
        <c:lblOffset val="100"/>
        <c:noMultiLvlLbl val="0"/>
      </c:catAx>
      <c:valAx>
        <c:axId val="122772464"/>
        <c:scaling>
          <c:orientation val="minMax"/>
          <c:max val="12"/>
        </c:scaling>
        <c:delete val="0"/>
        <c:axPos val="l"/>
        <c:title>
          <c:tx>
            <c:rich>
              <a:bodyPr rot="0" spcFirstLastPara="1" vertOverflow="ellipsis"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a:t>% excluded</a:t>
                </a:r>
              </a:p>
            </c:rich>
          </c:tx>
          <c:layout>
            <c:manualLayout>
              <c:xMode val="edge"/>
              <c:yMode val="edge"/>
              <c:x val="6.2872617993279478E-2"/>
              <c:y val="3.8705000770185389E-3"/>
            </c:manualLayout>
          </c:layout>
          <c:overlay val="0"/>
          <c:spPr>
            <a:noFill/>
            <a:ln>
              <a:noFill/>
            </a:ln>
            <a:effectLst/>
          </c:spPr>
          <c:txPr>
            <a:bodyPr rot="0" spcFirstLastPara="1" vertOverflow="ellipsis"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22770384"/>
        <c:crosses val="autoZero"/>
        <c:crossBetween val="between"/>
      </c:valAx>
      <c:spPr>
        <a:noFill/>
        <a:ln>
          <a:noFill/>
        </a:ln>
        <a:effectLst/>
      </c:spPr>
    </c:plotArea>
    <c:legend>
      <c:legendPos val="b"/>
      <c:layout>
        <c:manualLayout>
          <c:xMode val="edge"/>
          <c:yMode val="edge"/>
          <c:x val="0.66631580736309459"/>
          <c:y val="0.7501167541679804"/>
          <c:w val="0.32270860180412375"/>
          <c:h val="0.1532207171947247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965592989677484E-2"/>
          <c:y val="5.0632911392405063E-2"/>
          <c:w val="0.90923126402812215"/>
          <c:h val="0.87271170667738762"/>
        </c:manualLayout>
      </c:layout>
      <c:lineChart>
        <c:grouping val="standard"/>
        <c:varyColors val="0"/>
        <c:ser>
          <c:idx val="0"/>
          <c:order val="0"/>
          <c:tx>
            <c:strRef>
              <c:f>All_Cohorts_Girls!$A$10</c:f>
              <c:strCache>
                <c:ptCount val="1"/>
                <c:pt idx="0">
                  <c:v>White</c:v>
                </c:pt>
              </c:strCache>
            </c:strRef>
          </c:tx>
          <c:spPr>
            <a:ln w="28575" cap="rnd">
              <a:solidFill>
                <a:schemeClr val="bg1">
                  <a:lumMod val="65000"/>
                </a:schemeClr>
              </a:solidFill>
              <a:round/>
            </a:ln>
            <a:effectLst/>
          </c:spPr>
          <c:marker>
            <c:symbol val="none"/>
          </c:marker>
          <c:cat>
            <c:strRef>
              <c:f>All_Cohorts_Girls!$H$8:$L$8</c:f>
              <c:strCache>
                <c:ptCount val="5"/>
                <c:pt idx="0">
                  <c:v>Yr 7</c:v>
                </c:pt>
                <c:pt idx="1">
                  <c:v>Yr 8</c:v>
                </c:pt>
                <c:pt idx="2">
                  <c:v>Yr 9</c:v>
                </c:pt>
                <c:pt idx="3">
                  <c:v>Yr 10</c:v>
                </c:pt>
                <c:pt idx="4">
                  <c:v>Yr 11</c:v>
                </c:pt>
              </c:strCache>
              <c:extLst/>
            </c:strRef>
          </c:cat>
          <c:val>
            <c:numRef>
              <c:f>All_Cohorts_Girls!$H$10:$L$10</c:f>
              <c:numCache>
                <c:formatCode>General</c:formatCode>
                <c:ptCount val="5"/>
                <c:pt idx="0">
                  <c:v>0.65327453862485696</c:v>
                </c:pt>
                <c:pt idx="1">
                  <c:v>1.26299744134139</c:v>
                </c:pt>
                <c:pt idx="2">
                  <c:v>2.1721378409276402</c:v>
                </c:pt>
                <c:pt idx="3">
                  <c:v>3.6692253252762796</c:v>
                </c:pt>
                <c:pt idx="4">
                  <c:v>2.2320213403015901</c:v>
                </c:pt>
              </c:numCache>
              <c:extLst/>
            </c:numRef>
          </c:val>
          <c:smooth val="0"/>
          <c:extLst>
            <c:ext xmlns:c16="http://schemas.microsoft.com/office/drawing/2014/chart" uri="{C3380CC4-5D6E-409C-BE32-E72D297353CC}">
              <c16:uniqueId val="{00000000-8188-4CCF-B5D4-8D40948FEB2E}"/>
            </c:ext>
          </c:extLst>
        </c:ser>
        <c:ser>
          <c:idx val="1"/>
          <c:order val="1"/>
          <c:tx>
            <c:strRef>
              <c:f>All_Cohorts_Girls!$A$11</c:f>
              <c:strCache>
                <c:ptCount val="1"/>
                <c:pt idx="0">
                  <c:v>Asian</c:v>
                </c:pt>
              </c:strCache>
            </c:strRef>
          </c:tx>
          <c:spPr>
            <a:ln w="28575" cap="rnd">
              <a:solidFill>
                <a:schemeClr val="tx1"/>
              </a:solidFill>
              <a:prstDash val="dash"/>
              <a:round/>
            </a:ln>
            <a:effectLst/>
          </c:spPr>
          <c:marker>
            <c:symbol val="none"/>
          </c:marker>
          <c:cat>
            <c:strRef>
              <c:f>All_Cohorts_Girls!$H$8:$L$8</c:f>
              <c:strCache>
                <c:ptCount val="5"/>
                <c:pt idx="0">
                  <c:v>Yr 7</c:v>
                </c:pt>
                <c:pt idx="1">
                  <c:v>Yr 8</c:v>
                </c:pt>
                <c:pt idx="2">
                  <c:v>Yr 9</c:v>
                </c:pt>
                <c:pt idx="3">
                  <c:v>Yr 10</c:v>
                </c:pt>
                <c:pt idx="4">
                  <c:v>Yr 11</c:v>
                </c:pt>
              </c:strCache>
              <c:extLst/>
            </c:strRef>
          </c:cat>
          <c:val>
            <c:numRef>
              <c:f>All_Cohorts_Girls!$H$11:$L$11</c:f>
              <c:numCache>
                <c:formatCode>General</c:formatCode>
                <c:ptCount val="5"/>
                <c:pt idx="0">
                  <c:v>0.51826898160145096</c:v>
                </c:pt>
                <c:pt idx="1">
                  <c:v>0.57009587976159604</c:v>
                </c:pt>
                <c:pt idx="2">
                  <c:v>1.1920186576833298</c:v>
                </c:pt>
                <c:pt idx="3">
                  <c:v>1.5807203938844199</c:v>
                </c:pt>
                <c:pt idx="4">
                  <c:v>0.85514381964239394</c:v>
                </c:pt>
              </c:numCache>
              <c:extLst/>
            </c:numRef>
          </c:val>
          <c:smooth val="0"/>
          <c:extLst>
            <c:ext xmlns:c16="http://schemas.microsoft.com/office/drawing/2014/chart" uri="{C3380CC4-5D6E-409C-BE32-E72D297353CC}">
              <c16:uniqueId val="{00000001-8188-4CCF-B5D4-8D40948FEB2E}"/>
            </c:ext>
          </c:extLst>
        </c:ser>
        <c:ser>
          <c:idx val="2"/>
          <c:order val="2"/>
          <c:tx>
            <c:strRef>
              <c:f>All_Cohorts_Girls!$A$12</c:f>
              <c:strCache>
                <c:ptCount val="1"/>
                <c:pt idx="0">
                  <c:v>Black</c:v>
                </c:pt>
              </c:strCache>
            </c:strRef>
          </c:tx>
          <c:spPr>
            <a:ln w="28575" cap="rnd">
              <a:solidFill>
                <a:schemeClr val="accent3"/>
              </a:solidFill>
              <a:prstDash val="sysDot"/>
              <a:round/>
            </a:ln>
            <a:effectLst/>
          </c:spPr>
          <c:marker>
            <c:symbol val="none"/>
          </c:marker>
          <c:cat>
            <c:strRef>
              <c:f>All_Cohorts_Girls!$H$8:$L$8</c:f>
              <c:strCache>
                <c:ptCount val="5"/>
                <c:pt idx="0">
                  <c:v>Yr 7</c:v>
                </c:pt>
                <c:pt idx="1">
                  <c:v>Yr 8</c:v>
                </c:pt>
                <c:pt idx="2">
                  <c:v>Yr 9</c:v>
                </c:pt>
                <c:pt idx="3">
                  <c:v>Yr 10</c:v>
                </c:pt>
                <c:pt idx="4">
                  <c:v>Yr 11</c:v>
                </c:pt>
              </c:strCache>
              <c:extLst/>
            </c:strRef>
          </c:cat>
          <c:val>
            <c:numRef>
              <c:f>All_Cohorts_Girls!$H$12:$L$12</c:f>
              <c:numCache>
                <c:formatCode>General</c:formatCode>
                <c:ptCount val="5"/>
                <c:pt idx="0">
                  <c:v>1.59593761334784</c:v>
                </c:pt>
                <c:pt idx="1">
                  <c:v>2.7566195139644498</c:v>
                </c:pt>
                <c:pt idx="2">
                  <c:v>3.5545883206383704</c:v>
                </c:pt>
                <c:pt idx="3">
                  <c:v>5.3318824809575602</c:v>
                </c:pt>
                <c:pt idx="4">
                  <c:v>2.8291621327529897</c:v>
                </c:pt>
              </c:numCache>
              <c:extLst/>
            </c:numRef>
          </c:val>
          <c:smooth val="0"/>
          <c:extLst>
            <c:ext xmlns:c16="http://schemas.microsoft.com/office/drawing/2014/chart" uri="{C3380CC4-5D6E-409C-BE32-E72D297353CC}">
              <c16:uniqueId val="{00000002-8188-4CCF-B5D4-8D40948FEB2E}"/>
            </c:ext>
          </c:extLst>
        </c:ser>
        <c:ser>
          <c:idx val="3"/>
          <c:order val="3"/>
          <c:tx>
            <c:strRef>
              <c:f>All_Cohorts_Girls!$A$13</c:f>
              <c:strCache>
                <c:ptCount val="1"/>
                <c:pt idx="0">
                  <c:v>Mixed</c:v>
                </c:pt>
              </c:strCache>
            </c:strRef>
          </c:tx>
          <c:spPr>
            <a:ln w="28575" cap="rnd">
              <a:solidFill>
                <a:schemeClr val="bg1">
                  <a:lumMod val="65000"/>
                </a:schemeClr>
              </a:solidFill>
              <a:prstDash val="sysDash"/>
              <a:round/>
            </a:ln>
            <a:effectLst/>
          </c:spPr>
          <c:marker>
            <c:symbol val="none"/>
          </c:marker>
          <c:cat>
            <c:strRef>
              <c:f>All_Cohorts_Girls!$H$8:$L$8</c:f>
              <c:strCache>
                <c:ptCount val="5"/>
                <c:pt idx="0">
                  <c:v>Yr 7</c:v>
                </c:pt>
                <c:pt idx="1">
                  <c:v>Yr 8</c:v>
                </c:pt>
                <c:pt idx="2">
                  <c:v>Yr 9</c:v>
                </c:pt>
                <c:pt idx="3">
                  <c:v>Yr 10</c:v>
                </c:pt>
                <c:pt idx="4">
                  <c:v>Yr 11</c:v>
                </c:pt>
              </c:strCache>
              <c:extLst/>
            </c:strRef>
          </c:cat>
          <c:val>
            <c:numRef>
              <c:f>All_Cohorts_Girls!$H$13:$L$13</c:f>
              <c:numCache>
                <c:formatCode>General</c:formatCode>
                <c:ptCount val="5"/>
                <c:pt idx="0">
                  <c:v>1.4234875444839801</c:v>
                </c:pt>
                <c:pt idx="1">
                  <c:v>2.7283511269276297</c:v>
                </c:pt>
                <c:pt idx="2">
                  <c:v>3.9145907473309602</c:v>
                </c:pt>
                <c:pt idx="3">
                  <c:v>6.7615658362989297</c:v>
                </c:pt>
                <c:pt idx="4">
                  <c:v>3.7366548042704602</c:v>
                </c:pt>
              </c:numCache>
              <c:extLst/>
            </c:numRef>
          </c:val>
          <c:smooth val="0"/>
          <c:extLst>
            <c:ext xmlns:c16="http://schemas.microsoft.com/office/drawing/2014/chart" uri="{C3380CC4-5D6E-409C-BE32-E72D297353CC}">
              <c16:uniqueId val="{00000003-8188-4CCF-B5D4-8D40948FEB2E}"/>
            </c:ext>
          </c:extLst>
        </c:ser>
        <c:dLbls>
          <c:showLegendKey val="0"/>
          <c:showVal val="0"/>
          <c:showCatName val="0"/>
          <c:showSerName val="0"/>
          <c:showPercent val="0"/>
          <c:showBubbleSize val="0"/>
        </c:dLbls>
        <c:smooth val="0"/>
        <c:axId val="122770384"/>
        <c:axId val="122772464"/>
      </c:lineChart>
      <c:catAx>
        <c:axId val="12277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22772464"/>
        <c:crosses val="autoZero"/>
        <c:auto val="1"/>
        <c:lblAlgn val="ctr"/>
        <c:lblOffset val="100"/>
        <c:noMultiLvlLbl val="0"/>
      </c:catAx>
      <c:valAx>
        <c:axId val="122772464"/>
        <c:scaling>
          <c:orientation val="minMax"/>
          <c:max val="12"/>
        </c:scaling>
        <c:delete val="0"/>
        <c:axPos val="l"/>
        <c:title>
          <c:tx>
            <c:rich>
              <a:bodyPr rot="0" spcFirstLastPara="1" vertOverflow="ellipsis"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a:t>% excluded</a:t>
                </a:r>
              </a:p>
            </c:rich>
          </c:tx>
          <c:layout>
            <c:manualLayout>
              <c:xMode val="edge"/>
              <c:yMode val="edge"/>
              <c:x val="6.2872617993279478E-2"/>
              <c:y val="3.8705000770185389E-3"/>
            </c:manualLayout>
          </c:layout>
          <c:overlay val="0"/>
          <c:spPr>
            <a:noFill/>
            <a:ln>
              <a:noFill/>
            </a:ln>
            <a:effectLst/>
          </c:spPr>
          <c:txPr>
            <a:bodyPr rot="0" spcFirstLastPara="1" vertOverflow="ellipsis"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22770384"/>
        <c:crosses val="autoZero"/>
        <c:crossBetween val="between"/>
      </c:valAx>
      <c:spPr>
        <a:noFill/>
        <a:ln>
          <a:noFill/>
        </a:ln>
        <a:effectLst/>
      </c:spPr>
    </c:plotArea>
    <c:legend>
      <c:legendPos val="b"/>
      <c:layout>
        <c:manualLayout>
          <c:xMode val="edge"/>
          <c:yMode val="edge"/>
          <c:x val="0.67478443983697622"/>
          <c:y val="2.5411856402629843E-2"/>
          <c:w val="0.32270860180412375"/>
          <c:h val="0.14874657627595544"/>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761592300962368E-2"/>
          <c:y val="6.0185185185185182E-2"/>
          <c:w val="0.87868285214348207"/>
          <c:h val="0.83299358413531654"/>
        </c:manualLayout>
      </c:layout>
      <c:lineChart>
        <c:grouping val="standard"/>
        <c:varyColors val="0"/>
        <c:ser>
          <c:idx val="0"/>
          <c:order val="0"/>
          <c:tx>
            <c:strRef>
              <c:f>All_Cohorts!$A$8</c:f>
              <c:strCache>
                <c:ptCount val="1"/>
                <c:pt idx="0">
                  <c:v>High achieving, high SES</c:v>
                </c:pt>
              </c:strCache>
            </c:strRef>
          </c:tx>
          <c:spPr>
            <a:ln w="28575" cap="rnd">
              <a:solidFill>
                <a:schemeClr val="bg1">
                  <a:lumMod val="65000"/>
                </a:schemeClr>
              </a:solidFill>
              <a:round/>
            </a:ln>
            <a:effectLst/>
          </c:spPr>
          <c:marker>
            <c:symbol val="none"/>
          </c:marker>
          <c:cat>
            <c:numRef>
              <c:f>All_Cohorts!$B$7:$U$7</c:f>
              <c:numCache>
                <c:formatCode>General</c:formatCode>
                <c:ptCount val="20"/>
                <c:pt idx="0">
                  <c:v>11</c:v>
                </c:pt>
                <c:pt idx="1">
                  <c:v>12</c:v>
                </c:pt>
                <c:pt idx="2">
                  <c:v>13</c:v>
                </c:pt>
                <c:pt idx="3">
                  <c:v>14</c:v>
                </c:pt>
                <c:pt idx="4">
                  <c:v>15</c:v>
                </c:pt>
                <c:pt idx="5">
                  <c:v>16</c:v>
                </c:pt>
                <c:pt idx="6">
                  <c:v>17</c:v>
                </c:pt>
                <c:pt idx="7">
                  <c:v>18</c:v>
                </c:pt>
                <c:pt idx="8">
                  <c:v>19</c:v>
                </c:pt>
                <c:pt idx="9">
                  <c:v>20</c:v>
                </c:pt>
                <c:pt idx="10">
                  <c:v>21</c:v>
                </c:pt>
                <c:pt idx="11">
                  <c:v>22</c:v>
                </c:pt>
                <c:pt idx="12">
                  <c:v>23</c:v>
                </c:pt>
                <c:pt idx="13">
                  <c:v>24</c:v>
                </c:pt>
                <c:pt idx="14">
                  <c:v>25</c:v>
                </c:pt>
                <c:pt idx="15">
                  <c:v>26</c:v>
                </c:pt>
                <c:pt idx="16">
                  <c:v>27</c:v>
                </c:pt>
                <c:pt idx="17">
                  <c:v>28</c:v>
                </c:pt>
                <c:pt idx="18">
                  <c:v>29</c:v>
                </c:pt>
                <c:pt idx="19">
                  <c:v>30</c:v>
                </c:pt>
              </c:numCache>
            </c:numRef>
          </c:cat>
          <c:val>
            <c:numRef>
              <c:f>All_Cohorts!$B$8:$U$8</c:f>
              <c:numCache>
                <c:formatCode>0.0%</c:formatCode>
                <c:ptCount val="20"/>
                <c:pt idx="0">
                  <c:v>2.51299482852116E-4</c:v>
                </c:pt>
                <c:pt idx="1">
                  <c:v>8.5309561284008099E-4</c:v>
                </c:pt>
                <c:pt idx="2">
                  <c:v>1.9773301413890201E-3</c:v>
                </c:pt>
                <c:pt idx="3">
                  <c:v>4.3117700741994698E-3</c:v>
                </c:pt>
                <c:pt idx="4">
                  <c:v>4.7813033184758002E-3</c:v>
                </c:pt>
                <c:pt idx="5">
                  <c:v>4.9664713584720898E-3</c:v>
                </c:pt>
                <c:pt idx="6">
                  <c:v>5.7071435184572802E-3</c:v>
                </c:pt>
                <c:pt idx="7">
                  <c:v>6.1303847527345301E-3</c:v>
                </c:pt>
                <c:pt idx="8">
                  <c:v>5.9452167127382301E-3</c:v>
                </c:pt>
                <c:pt idx="9">
                  <c:v>4.9201793484730198E-3</c:v>
                </c:pt>
                <c:pt idx="10">
                  <c:v>3.6306162127845302E-3</c:v>
                </c:pt>
                <c:pt idx="11">
                  <c:v>2.8436520428002602E-3</c:v>
                </c:pt>
                <c:pt idx="12">
                  <c:v>2.54606054994907E-3</c:v>
                </c:pt>
                <c:pt idx="13">
                  <c:v>2.1955639028132302E-3</c:v>
                </c:pt>
                <c:pt idx="14">
                  <c:v>1.7723226685359801E-3</c:v>
                </c:pt>
                <c:pt idx="15">
                  <c:v>1.3226288571163999E-3</c:v>
                </c:pt>
                <c:pt idx="16">
                  <c:v>8.5970875712566299E-4</c:v>
                </c:pt>
                <c:pt idx="17">
                  <c:v>8.33256179983334E-4</c:v>
                </c:pt>
                <c:pt idx="18">
                  <c:v>6.7454071712936604E-4</c:v>
                </c:pt>
                <c:pt idx="19">
                  <c:v>3.4388350285026502E-4</c:v>
                </c:pt>
              </c:numCache>
            </c:numRef>
          </c:val>
          <c:smooth val="0"/>
          <c:extLst>
            <c:ext xmlns:c16="http://schemas.microsoft.com/office/drawing/2014/chart" uri="{C3380CC4-5D6E-409C-BE32-E72D297353CC}">
              <c16:uniqueId val="{00000000-045F-413B-B8EE-19EA061A25A9}"/>
            </c:ext>
          </c:extLst>
        </c:ser>
        <c:ser>
          <c:idx val="1"/>
          <c:order val="1"/>
          <c:tx>
            <c:strRef>
              <c:f>All_Cohorts!$A$9</c:f>
              <c:strCache>
                <c:ptCount val="1"/>
                <c:pt idx="0">
                  <c:v>High achieving, low SES</c:v>
                </c:pt>
              </c:strCache>
            </c:strRef>
          </c:tx>
          <c:spPr>
            <a:ln w="25400" cap="rnd">
              <a:solidFill>
                <a:schemeClr val="tx1"/>
              </a:solidFill>
              <a:prstDash val="dash"/>
              <a:round/>
            </a:ln>
            <a:effectLst/>
          </c:spPr>
          <c:marker>
            <c:symbol val="none"/>
          </c:marker>
          <c:cat>
            <c:numRef>
              <c:f>All_Cohorts!$B$7:$U$7</c:f>
              <c:numCache>
                <c:formatCode>General</c:formatCode>
                <c:ptCount val="20"/>
                <c:pt idx="0">
                  <c:v>11</c:v>
                </c:pt>
                <c:pt idx="1">
                  <c:v>12</c:v>
                </c:pt>
                <c:pt idx="2">
                  <c:v>13</c:v>
                </c:pt>
                <c:pt idx="3">
                  <c:v>14</c:v>
                </c:pt>
                <c:pt idx="4">
                  <c:v>15</c:v>
                </c:pt>
                <c:pt idx="5">
                  <c:v>16</c:v>
                </c:pt>
                <c:pt idx="6">
                  <c:v>17</c:v>
                </c:pt>
                <c:pt idx="7">
                  <c:v>18</c:v>
                </c:pt>
                <c:pt idx="8">
                  <c:v>19</c:v>
                </c:pt>
                <c:pt idx="9">
                  <c:v>20</c:v>
                </c:pt>
                <c:pt idx="10">
                  <c:v>21</c:v>
                </c:pt>
                <c:pt idx="11">
                  <c:v>22</c:v>
                </c:pt>
                <c:pt idx="12">
                  <c:v>23</c:v>
                </c:pt>
                <c:pt idx="13">
                  <c:v>24</c:v>
                </c:pt>
                <c:pt idx="14">
                  <c:v>25</c:v>
                </c:pt>
                <c:pt idx="15">
                  <c:v>26</c:v>
                </c:pt>
                <c:pt idx="16">
                  <c:v>27</c:v>
                </c:pt>
                <c:pt idx="17">
                  <c:v>28</c:v>
                </c:pt>
                <c:pt idx="18">
                  <c:v>29</c:v>
                </c:pt>
                <c:pt idx="19">
                  <c:v>30</c:v>
                </c:pt>
              </c:numCache>
            </c:numRef>
          </c:cat>
          <c:val>
            <c:numRef>
              <c:f>All_Cohorts!$B$9:$U$9</c:f>
              <c:numCache>
                <c:formatCode>0.0%</c:formatCode>
                <c:ptCount val="20"/>
                <c:pt idx="0">
                  <c:v>2.9546321006481101E-3</c:v>
                </c:pt>
                <c:pt idx="1">
                  <c:v>6.00457491422035E-3</c:v>
                </c:pt>
                <c:pt idx="2">
                  <c:v>1.17804041174227E-2</c:v>
                </c:pt>
                <c:pt idx="3">
                  <c:v>2.0301181852840199E-2</c:v>
                </c:pt>
                <c:pt idx="4">
                  <c:v>2.4647350362180701E-2</c:v>
                </c:pt>
                <c:pt idx="5">
                  <c:v>2.5428898208158499E-2</c:v>
                </c:pt>
                <c:pt idx="6">
                  <c:v>2.1940526115135299E-2</c:v>
                </c:pt>
                <c:pt idx="7">
                  <c:v>2.25695768204346E-2</c:v>
                </c:pt>
                <c:pt idx="8">
                  <c:v>2.09302325581395E-2</c:v>
                </c:pt>
                <c:pt idx="9">
                  <c:v>1.83377811666031E-2</c:v>
                </c:pt>
                <c:pt idx="10">
                  <c:v>1.3724742661075101E-2</c:v>
                </c:pt>
                <c:pt idx="11">
                  <c:v>1.20472741136103E-2</c:v>
                </c:pt>
                <c:pt idx="12">
                  <c:v>1.04841784216545E-2</c:v>
                </c:pt>
                <c:pt idx="13">
                  <c:v>9.2070148684712094E-3</c:v>
                </c:pt>
                <c:pt idx="14">
                  <c:v>8.0442241707967908E-3</c:v>
                </c:pt>
                <c:pt idx="15">
                  <c:v>6.0236370568051796E-3</c:v>
                </c:pt>
                <c:pt idx="16">
                  <c:v>3.79336637438048E-3</c:v>
                </c:pt>
                <c:pt idx="17">
                  <c:v>3.4502478078536E-3</c:v>
                </c:pt>
                <c:pt idx="18">
                  <c:v>2.8593213877239798E-3</c:v>
                </c:pt>
                <c:pt idx="19">
                  <c:v>1.73465497521921E-3</c:v>
                </c:pt>
              </c:numCache>
            </c:numRef>
          </c:val>
          <c:smooth val="0"/>
          <c:extLst>
            <c:ext xmlns:c16="http://schemas.microsoft.com/office/drawing/2014/chart" uri="{C3380CC4-5D6E-409C-BE32-E72D297353CC}">
              <c16:uniqueId val="{00000001-045F-413B-B8EE-19EA061A25A9}"/>
            </c:ext>
          </c:extLst>
        </c:ser>
        <c:dLbls>
          <c:showLegendKey val="0"/>
          <c:showVal val="0"/>
          <c:showCatName val="0"/>
          <c:showSerName val="0"/>
          <c:showPercent val="0"/>
          <c:showBubbleSize val="0"/>
        </c:dLbls>
        <c:smooth val="0"/>
        <c:axId val="582385904"/>
        <c:axId val="582386320"/>
      </c:lineChart>
      <c:catAx>
        <c:axId val="58238590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a:t>Age</a:t>
                </a:r>
              </a:p>
            </c:rich>
          </c:tx>
          <c:layout>
            <c:manualLayout>
              <c:xMode val="edge"/>
              <c:yMode val="edge"/>
              <c:x val="0.44615792184855391"/>
              <c:y val="0.94179512088145545"/>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82386320"/>
        <c:crosses val="autoZero"/>
        <c:auto val="1"/>
        <c:lblAlgn val="ctr"/>
        <c:lblOffset val="100"/>
        <c:noMultiLvlLbl val="0"/>
      </c:catAx>
      <c:valAx>
        <c:axId val="582386320"/>
        <c:scaling>
          <c:orientation val="minMax"/>
        </c:scaling>
        <c:delete val="0"/>
        <c:axPos val="l"/>
        <c:title>
          <c:tx>
            <c:rich>
              <a:bodyPr rot="0" spcFirstLastPara="1" vertOverflow="ellipsis"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a:t>% cautioned</a:t>
                </a:r>
                <a:r>
                  <a:rPr lang="en-US" baseline="0"/>
                  <a:t> / sentenced</a:t>
                </a:r>
                <a:endParaRPr lang="en-US"/>
              </a:p>
            </c:rich>
          </c:tx>
          <c:layout>
            <c:manualLayout>
              <c:xMode val="edge"/>
              <c:yMode val="edge"/>
              <c:x val="9.4444488472010715E-2"/>
              <c:y val="3.8247574404073517E-2"/>
            </c:manualLayout>
          </c:layout>
          <c:overlay val="0"/>
          <c:spPr>
            <a:noFill/>
            <a:ln>
              <a:noFill/>
            </a:ln>
            <a:effectLst/>
          </c:spPr>
          <c:txPr>
            <a:bodyPr rot="0" spcFirstLastPara="1" vertOverflow="ellipsis"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82385904"/>
        <c:crosses val="autoZero"/>
        <c:crossBetween val="between"/>
      </c:valAx>
      <c:spPr>
        <a:noFill/>
        <a:ln>
          <a:noFill/>
        </a:ln>
        <a:effectLst/>
      </c:spPr>
    </c:plotArea>
    <c:legend>
      <c:legendPos val="b"/>
      <c:layout>
        <c:manualLayout>
          <c:xMode val="edge"/>
          <c:yMode val="edge"/>
          <c:x val="0.57915123657709577"/>
          <c:y val="7.0022601341498986E-2"/>
          <c:w val="0.39797619115008182"/>
          <c:h val="0.1105329542140565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984673528176692E-2"/>
          <c:y val="5.0925925925925923E-2"/>
          <c:w val="0.92218367910485566"/>
          <c:h val="0.86482283464566934"/>
        </c:manualLayout>
      </c:layout>
      <c:lineChart>
        <c:grouping val="standard"/>
        <c:varyColors val="0"/>
        <c:ser>
          <c:idx val="0"/>
          <c:order val="0"/>
          <c:tx>
            <c:strRef>
              <c:f>Results_By_Ethnic_Gender!$A$13</c:f>
              <c:strCache>
                <c:ptCount val="1"/>
                <c:pt idx="0">
                  <c:v>White boy</c:v>
                </c:pt>
              </c:strCache>
            </c:strRef>
          </c:tx>
          <c:spPr>
            <a:ln w="28575" cap="rnd">
              <a:solidFill>
                <a:srgbClr val="0070C0"/>
              </a:solidFill>
              <a:round/>
            </a:ln>
            <a:effectLst/>
          </c:spPr>
          <c:marker>
            <c:symbol val="none"/>
          </c:marker>
          <c:cat>
            <c:numRef>
              <c:f>Results_By_Ethnic_Gender!$B$12:$N$12</c:f>
              <c:numCache>
                <c:formatCode>General</c:formatCode>
                <c:ptCount val="13"/>
                <c:pt idx="0">
                  <c:v>13</c:v>
                </c:pt>
                <c:pt idx="1">
                  <c:v>14</c:v>
                </c:pt>
                <c:pt idx="2">
                  <c:v>15</c:v>
                </c:pt>
                <c:pt idx="3">
                  <c:v>16</c:v>
                </c:pt>
                <c:pt idx="4">
                  <c:v>17</c:v>
                </c:pt>
                <c:pt idx="5">
                  <c:v>18</c:v>
                </c:pt>
                <c:pt idx="6">
                  <c:v>19</c:v>
                </c:pt>
                <c:pt idx="7">
                  <c:v>20</c:v>
                </c:pt>
                <c:pt idx="8">
                  <c:v>21</c:v>
                </c:pt>
                <c:pt idx="9">
                  <c:v>22</c:v>
                </c:pt>
                <c:pt idx="10">
                  <c:v>23</c:v>
                </c:pt>
                <c:pt idx="11">
                  <c:v>24</c:v>
                </c:pt>
                <c:pt idx="12">
                  <c:v>25</c:v>
                </c:pt>
              </c:numCache>
            </c:numRef>
          </c:cat>
          <c:val>
            <c:numRef>
              <c:f>Results_By_Ethnic_Gender!$B$13:$N$13</c:f>
              <c:numCache>
                <c:formatCode>0.0%</c:formatCode>
                <c:ptCount val="13"/>
                <c:pt idx="0">
                  <c:v>1.6777069275057201E-2</c:v>
                </c:pt>
                <c:pt idx="1">
                  <c:v>3.0025382281929001E-2</c:v>
                </c:pt>
                <c:pt idx="2">
                  <c:v>3.8630594935925203E-2</c:v>
                </c:pt>
                <c:pt idx="3">
                  <c:v>4.1664087166470597E-2</c:v>
                </c:pt>
                <c:pt idx="4">
                  <c:v>3.7082894818300002E-2</c:v>
                </c:pt>
                <c:pt idx="5">
                  <c:v>3.9435398997090303E-2</c:v>
                </c:pt>
                <c:pt idx="6">
                  <c:v>3.68352627994799E-2</c:v>
                </c:pt>
                <c:pt idx="7">
                  <c:v>3.3306506531294397E-2</c:v>
                </c:pt>
                <c:pt idx="8">
                  <c:v>2.4825109886708299E-2</c:v>
                </c:pt>
                <c:pt idx="9">
                  <c:v>2.0243917538537701E-2</c:v>
                </c:pt>
                <c:pt idx="10">
                  <c:v>1.78914133597474E-2</c:v>
                </c:pt>
                <c:pt idx="11">
                  <c:v>1.6467529251532199E-2</c:v>
                </c:pt>
                <c:pt idx="12">
                  <c:v>1.34959450256918E-2</c:v>
                </c:pt>
              </c:numCache>
            </c:numRef>
          </c:val>
          <c:smooth val="0"/>
          <c:extLst>
            <c:ext xmlns:c16="http://schemas.microsoft.com/office/drawing/2014/chart" uri="{C3380CC4-5D6E-409C-BE32-E72D297353CC}">
              <c16:uniqueId val="{00000000-5EAB-4FDE-BF3B-FCDAFD6AEBF9}"/>
            </c:ext>
          </c:extLst>
        </c:ser>
        <c:ser>
          <c:idx val="1"/>
          <c:order val="1"/>
          <c:tx>
            <c:strRef>
              <c:f>Results_By_Ethnic_Gender!$A$14</c:f>
              <c:strCache>
                <c:ptCount val="1"/>
                <c:pt idx="0">
                  <c:v>White girl</c:v>
                </c:pt>
              </c:strCache>
            </c:strRef>
          </c:tx>
          <c:spPr>
            <a:ln w="28575" cap="rnd">
              <a:solidFill>
                <a:srgbClr val="0070C0"/>
              </a:solidFill>
              <a:prstDash val="sysDot"/>
              <a:round/>
            </a:ln>
            <a:effectLst/>
          </c:spPr>
          <c:marker>
            <c:symbol val="none"/>
          </c:marker>
          <c:cat>
            <c:numRef>
              <c:f>Results_By_Ethnic_Gender!$B$12:$N$12</c:f>
              <c:numCache>
                <c:formatCode>General</c:formatCode>
                <c:ptCount val="13"/>
                <c:pt idx="0">
                  <c:v>13</c:v>
                </c:pt>
                <c:pt idx="1">
                  <c:v>14</c:v>
                </c:pt>
                <c:pt idx="2">
                  <c:v>15</c:v>
                </c:pt>
                <c:pt idx="3">
                  <c:v>16</c:v>
                </c:pt>
                <c:pt idx="4">
                  <c:v>17</c:v>
                </c:pt>
                <c:pt idx="5">
                  <c:v>18</c:v>
                </c:pt>
                <c:pt idx="6">
                  <c:v>19</c:v>
                </c:pt>
                <c:pt idx="7">
                  <c:v>20</c:v>
                </c:pt>
                <c:pt idx="8">
                  <c:v>21</c:v>
                </c:pt>
                <c:pt idx="9">
                  <c:v>22</c:v>
                </c:pt>
                <c:pt idx="10">
                  <c:v>23</c:v>
                </c:pt>
                <c:pt idx="11">
                  <c:v>24</c:v>
                </c:pt>
                <c:pt idx="12">
                  <c:v>25</c:v>
                </c:pt>
              </c:numCache>
            </c:numRef>
          </c:cat>
          <c:val>
            <c:numRef>
              <c:f>Results_By_Ethnic_Gender!$B$14:$N$14</c:f>
              <c:numCache>
                <c:formatCode>0.0%</c:formatCode>
                <c:ptCount val="13"/>
                <c:pt idx="0">
                  <c:v>1.13778648810495E-2</c:v>
                </c:pt>
                <c:pt idx="1">
                  <c:v>1.7965049812183501E-2</c:v>
                </c:pt>
                <c:pt idx="2">
                  <c:v>1.7420654363329499E-2</c:v>
                </c:pt>
                <c:pt idx="3">
                  <c:v>1.4099842125319799E-2</c:v>
                </c:pt>
                <c:pt idx="4">
                  <c:v>9.3636017202896101E-3</c:v>
                </c:pt>
                <c:pt idx="5">
                  <c:v>8.5470085470085392E-3</c:v>
                </c:pt>
                <c:pt idx="6">
                  <c:v>7.9481735532690896E-3</c:v>
                </c:pt>
                <c:pt idx="7">
                  <c:v>6.0972290271653299E-3</c:v>
                </c:pt>
                <c:pt idx="8">
                  <c:v>4.5184822254885904E-3</c:v>
                </c:pt>
                <c:pt idx="9">
                  <c:v>4.3007240459469699E-3</c:v>
                </c:pt>
                <c:pt idx="10">
                  <c:v>3.8107681419783301E-3</c:v>
                </c:pt>
                <c:pt idx="11">
                  <c:v>3.0486145135826602E-3</c:v>
                </c:pt>
                <c:pt idx="12">
                  <c:v>3.0486145135826602E-3</c:v>
                </c:pt>
              </c:numCache>
            </c:numRef>
          </c:val>
          <c:smooth val="0"/>
          <c:extLst>
            <c:ext xmlns:c16="http://schemas.microsoft.com/office/drawing/2014/chart" uri="{C3380CC4-5D6E-409C-BE32-E72D297353CC}">
              <c16:uniqueId val="{00000001-5EAB-4FDE-BF3B-FCDAFD6AEBF9}"/>
            </c:ext>
          </c:extLst>
        </c:ser>
        <c:ser>
          <c:idx val="2"/>
          <c:order val="2"/>
          <c:tx>
            <c:strRef>
              <c:f>Results_By_Ethnic_Gender!$A$15</c:f>
              <c:strCache>
                <c:ptCount val="1"/>
                <c:pt idx="0">
                  <c:v>Asian boy</c:v>
                </c:pt>
              </c:strCache>
            </c:strRef>
          </c:tx>
          <c:spPr>
            <a:ln w="28575" cap="rnd">
              <a:solidFill>
                <a:srgbClr val="7030A0"/>
              </a:solidFill>
              <a:round/>
            </a:ln>
            <a:effectLst/>
          </c:spPr>
          <c:marker>
            <c:symbol val="none"/>
          </c:marker>
          <c:cat>
            <c:numRef>
              <c:f>Results_By_Ethnic_Gender!$B$12:$N$12</c:f>
              <c:numCache>
                <c:formatCode>General</c:formatCode>
                <c:ptCount val="13"/>
                <c:pt idx="0">
                  <c:v>13</c:v>
                </c:pt>
                <c:pt idx="1">
                  <c:v>14</c:v>
                </c:pt>
                <c:pt idx="2">
                  <c:v>15</c:v>
                </c:pt>
                <c:pt idx="3">
                  <c:v>16</c:v>
                </c:pt>
                <c:pt idx="4">
                  <c:v>17</c:v>
                </c:pt>
                <c:pt idx="5">
                  <c:v>18</c:v>
                </c:pt>
                <c:pt idx="6">
                  <c:v>19</c:v>
                </c:pt>
                <c:pt idx="7">
                  <c:v>20</c:v>
                </c:pt>
                <c:pt idx="8">
                  <c:v>21</c:v>
                </c:pt>
                <c:pt idx="9">
                  <c:v>22</c:v>
                </c:pt>
                <c:pt idx="10">
                  <c:v>23</c:v>
                </c:pt>
                <c:pt idx="11">
                  <c:v>24</c:v>
                </c:pt>
                <c:pt idx="12">
                  <c:v>25</c:v>
                </c:pt>
              </c:numCache>
            </c:numRef>
          </c:cat>
          <c:val>
            <c:numRef>
              <c:f>Results_By_Ethnic_Gender!$B$15:$N$15</c:f>
              <c:numCache>
                <c:formatCode>0.0%</c:formatCode>
                <c:ptCount val="13"/>
                <c:pt idx="0">
                  <c:v>5.8155635558017104E-3</c:v>
                </c:pt>
                <c:pt idx="1">
                  <c:v>1.4400443090556599E-2</c:v>
                </c:pt>
                <c:pt idx="2">
                  <c:v>1.9662143450567701E-2</c:v>
                </c:pt>
                <c:pt idx="3">
                  <c:v>2.29853226253115E-2</c:v>
                </c:pt>
                <c:pt idx="4">
                  <c:v>2.76931597895319E-2</c:v>
                </c:pt>
                <c:pt idx="5">
                  <c:v>2.7970091387427301E-2</c:v>
                </c:pt>
                <c:pt idx="6">
                  <c:v>2.6862364995845999E-2</c:v>
                </c:pt>
                <c:pt idx="7">
                  <c:v>2.0769869842148899E-2</c:v>
                </c:pt>
                <c:pt idx="8">
                  <c:v>2.13237330379396E-2</c:v>
                </c:pt>
                <c:pt idx="9">
                  <c:v>1.8554417058986399E-2</c:v>
                </c:pt>
                <c:pt idx="10">
                  <c:v>1.7446690667405101E-2</c:v>
                </c:pt>
                <c:pt idx="11">
                  <c:v>1.3569648296870599E-2</c:v>
                </c:pt>
                <c:pt idx="12">
                  <c:v>1.46773746884519E-2</c:v>
                </c:pt>
              </c:numCache>
            </c:numRef>
          </c:val>
          <c:smooth val="0"/>
          <c:extLst>
            <c:ext xmlns:c16="http://schemas.microsoft.com/office/drawing/2014/chart" uri="{C3380CC4-5D6E-409C-BE32-E72D297353CC}">
              <c16:uniqueId val="{00000002-5EAB-4FDE-BF3B-FCDAFD6AEBF9}"/>
            </c:ext>
          </c:extLst>
        </c:ser>
        <c:ser>
          <c:idx val="3"/>
          <c:order val="3"/>
          <c:tx>
            <c:strRef>
              <c:f>Results_By_Ethnic_Gender!$A$16</c:f>
              <c:strCache>
                <c:ptCount val="1"/>
                <c:pt idx="0">
                  <c:v>Black boy</c:v>
                </c:pt>
              </c:strCache>
            </c:strRef>
          </c:tx>
          <c:spPr>
            <a:ln w="28575" cap="rnd">
              <a:solidFill>
                <a:schemeClr val="tx1">
                  <a:lumMod val="95000"/>
                  <a:lumOff val="5000"/>
                </a:schemeClr>
              </a:solidFill>
              <a:round/>
            </a:ln>
            <a:effectLst/>
          </c:spPr>
          <c:marker>
            <c:symbol val="none"/>
          </c:marker>
          <c:cat>
            <c:numRef>
              <c:f>Results_By_Ethnic_Gender!$B$12:$N$12</c:f>
              <c:numCache>
                <c:formatCode>General</c:formatCode>
                <c:ptCount val="13"/>
                <c:pt idx="0">
                  <c:v>13</c:v>
                </c:pt>
                <c:pt idx="1">
                  <c:v>14</c:v>
                </c:pt>
                <c:pt idx="2">
                  <c:v>15</c:v>
                </c:pt>
                <c:pt idx="3">
                  <c:v>16</c:v>
                </c:pt>
                <c:pt idx="4">
                  <c:v>17</c:v>
                </c:pt>
                <c:pt idx="5">
                  <c:v>18</c:v>
                </c:pt>
                <c:pt idx="6">
                  <c:v>19</c:v>
                </c:pt>
                <c:pt idx="7">
                  <c:v>20</c:v>
                </c:pt>
                <c:pt idx="8">
                  <c:v>21</c:v>
                </c:pt>
                <c:pt idx="9">
                  <c:v>22</c:v>
                </c:pt>
                <c:pt idx="10">
                  <c:v>23</c:v>
                </c:pt>
                <c:pt idx="11">
                  <c:v>24</c:v>
                </c:pt>
                <c:pt idx="12">
                  <c:v>25</c:v>
                </c:pt>
              </c:numCache>
            </c:numRef>
          </c:cat>
          <c:val>
            <c:numRef>
              <c:f>Results_By_Ethnic_Gender!$B$16:$N$16</c:f>
              <c:numCache>
                <c:formatCode>0.0%</c:formatCode>
                <c:ptCount val="13"/>
                <c:pt idx="0">
                  <c:v>1.11265646731571E-2</c:v>
                </c:pt>
                <c:pt idx="1">
                  <c:v>2.4107556791840502E-2</c:v>
                </c:pt>
                <c:pt idx="2">
                  <c:v>3.7088548910523801E-2</c:v>
                </c:pt>
                <c:pt idx="3">
                  <c:v>5.1460361613351803E-2</c:v>
                </c:pt>
                <c:pt idx="4">
                  <c:v>4.2651831247102402E-2</c:v>
                </c:pt>
                <c:pt idx="5">
                  <c:v>5.4242002781641097E-2</c:v>
                </c:pt>
                <c:pt idx="6">
                  <c:v>4.45062586926286E-2</c:v>
                </c:pt>
                <c:pt idx="7">
                  <c:v>4.7287899860917901E-2</c:v>
                </c:pt>
                <c:pt idx="8">
                  <c:v>3.2452480296708303E-2</c:v>
                </c:pt>
                <c:pt idx="9">
                  <c:v>2.7816411682892901E-2</c:v>
                </c:pt>
                <c:pt idx="10">
                  <c:v>2.17895224849327E-2</c:v>
                </c:pt>
                <c:pt idx="11">
                  <c:v>2.22531293463143E-2</c:v>
                </c:pt>
                <c:pt idx="12">
                  <c:v>1.9471488178025E-2</c:v>
                </c:pt>
              </c:numCache>
            </c:numRef>
          </c:val>
          <c:smooth val="0"/>
          <c:extLst>
            <c:ext xmlns:c16="http://schemas.microsoft.com/office/drawing/2014/chart" uri="{C3380CC4-5D6E-409C-BE32-E72D297353CC}">
              <c16:uniqueId val="{00000003-5EAB-4FDE-BF3B-FCDAFD6AEBF9}"/>
            </c:ext>
          </c:extLst>
        </c:ser>
        <c:ser>
          <c:idx val="4"/>
          <c:order val="4"/>
          <c:tx>
            <c:strRef>
              <c:f>Results_By_Ethnic_Gender!$A$17</c:f>
              <c:strCache>
                <c:ptCount val="1"/>
                <c:pt idx="0">
                  <c:v>Black girl</c:v>
                </c:pt>
              </c:strCache>
            </c:strRef>
          </c:tx>
          <c:spPr>
            <a:ln w="28575" cap="rnd">
              <a:solidFill>
                <a:schemeClr val="tx1">
                  <a:lumMod val="95000"/>
                  <a:lumOff val="5000"/>
                </a:schemeClr>
              </a:solidFill>
              <a:prstDash val="sysDot"/>
              <a:round/>
            </a:ln>
            <a:effectLst/>
          </c:spPr>
          <c:marker>
            <c:symbol val="none"/>
          </c:marker>
          <c:cat>
            <c:numRef>
              <c:f>Results_By_Ethnic_Gender!$B$12:$N$12</c:f>
              <c:numCache>
                <c:formatCode>General</c:formatCode>
                <c:ptCount val="13"/>
                <c:pt idx="0">
                  <c:v>13</c:v>
                </c:pt>
                <c:pt idx="1">
                  <c:v>14</c:v>
                </c:pt>
                <c:pt idx="2">
                  <c:v>15</c:v>
                </c:pt>
                <c:pt idx="3">
                  <c:v>16</c:v>
                </c:pt>
                <c:pt idx="4">
                  <c:v>17</c:v>
                </c:pt>
                <c:pt idx="5">
                  <c:v>18</c:v>
                </c:pt>
                <c:pt idx="6">
                  <c:v>19</c:v>
                </c:pt>
                <c:pt idx="7">
                  <c:v>20</c:v>
                </c:pt>
                <c:pt idx="8">
                  <c:v>21</c:v>
                </c:pt>
                <c:pt idx="9">
                  <c:v>22</c:v>
                </c:pt>
                <c:pt idx="10">
                  <c:v>23</c:v>
                </c:pt>
                <c:pt idx="11">
                  <c:v>24</c:v>
                </c:pt>
                <c:pt idx="12">
                  <c:v>25</c:v>
                </c:pt>
              </c:numCache>
            </c:numRef>
          </c:cat>
          <c:val>
            <c:numRef>
              <c:f>Results_By_Ethnic_Gender!$B$17:$N$17</c:f>
              <c:numCache>
                <c:formatCode>0.0%</c:formatCode>
                <c:ptCount val="13"/>
                <c:pt idx="0">
                  <c:v>4.7152702212549802E-3</c:v>
                </c:pt>
                <c:pt idx="1">
                  <c:v>8.7051142546245904E-3</c:v>
                </c:pt>
                <c:pt idx="2">
                  <c:v>1.16068190061661E-2</c:v>
                </c:pt>
                <c:pt idx="3">
                  <c:v>7.6169749727965103E-3</c:v>
                </c:pt>
                <c:pt idx="4">
                  <c:v>8.7051142546245904E-3</c:v>
                </c:pt>
                <c:pt idx="5">
                  <c:v>9.0678273485672797E-3</c:v>
                </c:pt>
                <c:pt idx="6">
                  <c:v>7.9796880667392101E-3</c:v>
                </c:pt>
                <c:pt idx="7">
                  <c:v>9.4305404425099708E-3</c:v>
                </c:pt>
                <c:pt idx="8">
                  <c:v>4.35255712731229E-3</c:v>
                </c:pt>
                <c:pt idx="9">
                  <c:v>6.89154878491113E-3</c:v>
                </c:pt>
                <c:pt idx="10">
                  <c:v>5.4406964091403701E-3</c:v>
                </c:pt>
                <c:pt idx="11">
                  <c:v>3.6271309394269101E-3</c:v>
                </c:pt>
              </c:numCache>
            </c:numRef>
          </c:val>
          <c:smooth val="0"/>
          <c:extLst>
            <c:ext xmlns:c16="http://schemas.microsoft.com/office/drawing/2014/chart" uri="{C3380CC4-5D6E-409C-BE32-E72D297353CC}">
              <c16:uniqueId val="{00000004-5EAB-4FDE-BF3B-FCDAFD6AEBF9}"/>
            </c:ext>
          </c:extLst>
        </c:ser>
        <c:ser>
          <c:idx val="5"/>
          <c:order val="5"/>
          <c:tx>
            <c:strRef>
              <c:f>Results_By_Ethnic_Gender!$A$18</c:f>
              <c:strCache>
                <c:ptCount val="1"/>
                <c:pt idx="0">
                  <c:v>Mixed boy</c:v>
                </c:pt>
              </c:strCache>
            </c:strRef>
          </c:tx>
          <c:spPr>
            <a:ln w="28575" cap="rnd">
              <a:solidFill>
                <a:srgbClr val="00B050"/>
              </a:solidFill>
              <a:round/>
            </a:ln>
            <a:effectLst/>
          </c:spPr>
          <c:marker>
            <c:symbol val="none"/>
          </c:marker>
          <c:cat>
            <c:numRef>
              <c:f>Results_By_Ethnic_Gender!$B$12:$N$12</c:f>
              <c:numCache>
                <c:formatCode>General</c:formatCode>
                <c:ptCount val="13"/>
                <c:pt idx="0">
                  <c:v>13</c:v>
                </c:pt>
                <c:pt idx="1">
                  <c:v>14</c:v>
                </c:pt>
                <c:pt idx="2">
                  <c:v>15</c:v>
                </c:pt>
                <c:pt idx="3">
                  <c:v>16</c:v>
                </c:pt>
                <c:pt idx="4">
                  <c:v>17</c:v>
                </c:pt>
                <c:pt idx="5">
                  <c:v>18</c:v>
                </c:pt>
                <c:pt idx="6">
                  <c:v>19</c:v>
                </c:pt>
                <c:pt idx="7">
                  <c:v>20</c:v>
                </c:pt>
                <c:pt idx="8">
                  <c:v>21</c:v>
                </c:pt>
                <c:pt idx="9">
                  <c:v>22</c:v>
                </c:pt>
                <c:pt idx="10">
                  <c:v>23</c:v>
                </c:pt>
                <c:pt idx="11">
                  <c:v>24</c:v>
                </c:pt>
                <c:pt idx="12">
                  <c:v>25</c:v>
                </c:pt>
              </c:numCache>
            </c:numRef>
          </c:cat>
          <c:val>
            <c:numRef>
              <c:f>Results_By_Ethnic_Gender!$B$18:$N$18</c:f>
              <c:numCache>
                <c:formatCode>0.0%</c:formatCode>
                <c:ptCount val="13"/>
                <c:pt idx="0">
                  <c:v>1.8297533810660301E-2</c:v>
                </c:pt>
                <c:pt idx="1">
                  <c:v>2.46618933969769E-2</c:v>
                </c:pt>
                <c:pt idx="2">
                  <c:v>3.8981702466189302E-2</c:v>
                </c:pt>
                <c:pt idx="3">
                  <c:v>6.6825775656324499E-2</c:v>
                </c:pt>
                <c:pt idx="4">
                  <c:v>5.40970564836913E-2</c:v>
                </c:pt>
                <c:pt idx="5">
                  <c:v>5.40970564836913E-2</c:v>
                </c:pt>
                <c:pt idx="6">
                  <c:v>5.0914876690532997E-2</c:v>
                </c:pt>
                <c:pt idx="7">
                  <c:v>3.5003977724741397E-2</c:v>
                </c:pt>
                <c:pt idx="8">
                  <c:v>2.8639618138424802E-2</c:v>
                </c:pt>
                <c:pt idx="9">
                  <c:v>2.5457438345266498E-2</c:v>
                </c:pt>
                <c:pt idx="10">
                  <c:v>2.6252983293556E-2</c:v>
                </c:pt>
                <c:pt idx="11">
                  <c:v>1.9093078758949798E-2</c:v>
                </c:pt>
                <c:pt idx="12">
                  <c:v>1.98886237072394E-2</c:v>
                </c:pt>
              </c:numCache>
            </c:numRef>
          </c:val>
          <c:smooth val="0"/>
          <c:extLst>
            <c:ext xmlns:c16="http://schemas.microsoft.com/office/drawing/2014/chart" uri="{C3380CC4-5D6E-409C-BE32-E72D297353CC}">
              <c16:uniqueId val="{00000005-5EAB-4FDE-BF3B-FCDAFD6AEBF9}"/>
            </c:ext>
          </c:extLst>
        </c:ser>
        <c:ser>
          <c:idx val="6"/>
          <c:order val="6"/>
          <c:tx>
            <c:strRef>
              <c:f>Results_By_Ethnic_Gender!$A$19</c:f>
              <c:strCache>
                <c:ptCount val="1"/>
                <c:pt idx="0">
                  <c:v>Mixed girl</c:v>
                </c:pt>
              </c:strCache>
            </c:strRef>
          </c:tx>
          <c:spPr>
            <a:ln w="28575" cap="rnd">
              <a:solidFill>
                <a:srgbClr val="00B050"/>
              </a:solidFill>
              <a:prstDash val="dash"/>
              <a:round/>
            </a:ln>
            <a:effectLst/>
          </c:spPr>
          <c:marker>
            <c:symbol val="none"/>
          </c:marker>
          <c:cat>
            <c:numRef>
              <c:f>Results_By_Ethnic_Gender!$B$12:$N$12</c:f>
              <c:numCache>
                <c:formatCode>General</c:formatCode>
                <c:ptCount val="13"/>
                <c:pt idx="0">
                  <c:v>13</c:v>
                </c:pt>
                <c:pt idx="1">
                  <c:v>14</c:v>
                </c:pt>
                <c:pt idx="2">
                  <c:v>15</c:v>
                </c:pt>
                <c:pt idx="3">
                  <c:v>16</c:v>
                </c:pt>
                <c:pt idx="4">
                  <c:v>17</c:v>
                </c:pt>
                <c:pt idx="5">
                  <c:v>18</c:v>
                </c:pt>
                <c:pt idx="6">
                  <c:v>19</c:v>
                </c:pt>
                <c:pt idx="7">
                  <c:v>20</c:v>
                </c:pt>
                <c:pt idx="8">
                  <c:v>21</c:v>
                </c:pt>
                <c:pt idx="9">
                  <c:v>22</c:v>
                </c:pt>
                <c:pt idx="10">
                  <c:v>23</c:v>
                </c:pt>
                <c:pt idx="11">
                  <c:v>24</c:v>
                </c:pt>
                <c:pt idx="12">
                  <c:v>25</c:v>
                </c:pt>
              </c:numCache>
            </c:numRef>
          </c:cat>
          <c:val>
            <c:numRef>
              <c:f>Results_By_Ethnic_Gender!$B$19:$N$19</c:f>
              <c:numCache>
                <c:formatCode>0.0%</c:formatCode>
                <c:ptCount val="13"/>
                <c:pt idx="0">
                  <c:v>1.1862396204033201E-2</c:v>
                </c:pt>
                <c:pt idx="1">
                  <c:v>2.1945432977461401E-2</c:v>
                </c:pt>
                <c:pt idx="2">
                  <c:v>2.5504151838671399E-2</c:v>
                </c:pt>
                <c:pt idx="3">
                  <c:v>1.6014234875444799E-2</c:v>
                </c:pt>
                <c:pt idx="4">
                  <c:v>1.54211150652431E-2</c:v>
                </c:pt>
                <c:pt idx="5">
                  <c:v>1.00830367734282E-2</c:v>
                </c:pt>
                <c:pt idx="6">
                  <c:v>8.3036773428232496E-3</c:v>
                </c:pt>
                <c:pt idx="7">
                  <c:v>8.8967971530249101E-3</c:v>
                </c:pt>
                <c:pt idx="8">
                  <c:v>6.5243179122182601E-3</c:v>
                </c:pt>
                <c:pt idx="9">
                  <c:v>7.1174377224199198E-3</c:v>
                </c:pt>
                <c:pt idx="10">
                  <c:v>5.9311981020166004E-3</c:v>
                </c:pt>
              </c:numCache>
            </c:numRef>
          </c:val>
          <c:smooth val="0"/>
          <c:extLst>
            <c:ext xmlns:c16="http://schemas.microsoft.com/office/drawing/2014/chart" uri="{C3380CC4-5D6E-409C-BE32-E72D297353CC}">
              <c16:uniqueId val="{00000006-5EAB-4FDE-BF3B-FCDAFD6AEBF9}"/>
            </c:ext>
          </c:extLst>
        </c:ser>
        <c:dLbls>
          <c:showLegendKey val="0"/>
          <c:showVal val="0"/>
          <c:showCatName val="0"/>
          <c:showSerName val="0"/>
          <c:showPercent val="0"/>
          <c:showBubbleSize val="0"/>
        </c:dLbls>
        <c:smooth val="0"/>
        <c:axId val="858330960"/>
        <c:axId val="858331376"/>
      </c:lineChart>
      <c:catAx>
        <c:axId val="858330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858331376"/>
        <c:crosses val="autoZero"/>
        <c:auto val="1"/>
        <c:lblAlgn val="ctr"/>
        <c:lblOffset val="100"/>
        <c:noMultiLvlLbl val="0"/>
      </c:catAx>
      <c:valAx>
        <c:axId val="858331376"/>
        <c:scaling>
          <c:orientation val="minMax"/>
          <c:max val="7.0000000000000007E-2"/>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858330960"/>
        <c:crosses val="autoZero"/>
        <c:crossBetween val="between"/>
      </c:valAx>
      <c:spPr>
        <a:noFill/>
        <a:ln>
          <a:noFill/>
        </a:ln>
        <a:effectLst/>
      </c:spPr>
    </c:plotArea>
    <c:legend>
      <c:legendPos val="b"/>
      <c:layout>
        <c:manualLayout>
          <c:xMode val="edge"/>
          <c:yMode val="edge"/>
          <c:x val="0.51709140298975664"/>
          <c:y val="2.6619389675663862E-2"/>
          <c:w val="0.47988179799203423"/>
          <c:h val="0.1493066491688538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0.52846</cdr:x>
      <cdr:y>0.55811</cdr:y>
    </cdr:from>
    <cdr:to>
      <cdr:x>0.52846</cdr:x>
      <cdr:y>0.57422</cdr:y>
    </cdr:to>
    <cdr:cxnSp macro="">
      <cdr:nvCxnSpPr>
        <cdr:cNvPr id="3" name="Straight Connector 2">
          <a:extLst xmlns:a="http://schemas.openxmlformats.org/drawingml/2006/main">
            <a:ext uri="{FF2B5EF4-FFF2-40B4-BE49-F238E27FC236}">
              <a16:creationId xmlns:a16="http://schemas.microsoft.com/office/drawing/2014/main" id="{28B90237-0B5D-4D0A-96CB-24CF94F60177}"/>
            </a:ext>
          </a:extLst>
        </cdr:cNvPr>
        <cdr:cNvCxnSpPr/>
      </cdr:nvCxnSpPr>
      <cdr:spPr>
        <a:xfrm xmlns:a="http://schemas.openxmlformats.org/drawingml/2006/main" flipV="1">
          <a:off x="3095626" y="1539876"/>
          <a:ext cx="0" cy="444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0.53279</cdr:x>
      <cdr:y>0</cdr:y>
    </cdr:from>
    <cdr:to>
      <cdr:x>0.53821</cdr:x>
      <cdr:y>0.9229</cdr:y>
    </cdr:to>
    <cdr:cxnSp macro="">
      <cdr:nvCxnSpPr>
        <cdr:cNvPr id="5" name="Straight Connector 4">
          <a:extLst xmlns:a="http://schemas.openxmlformats.org/drawingml/2006/main">
            <a:ext uri="{FF2B5EF4-FFF2-40B4-BE49-F238E27FC236}">
              <a16:creationId xmlns:a16="http://schemas.microsoft.com/office/drawing/2014/main" id="{0FFC2305-0781-4329-8521-08AD5558D718}"/>
            </a:ext>
          </a:extLst>
        </cdr:cNvPr>
        <cdr:cNvCxnSpPr/>
      </cdr:nvCxnSpPr>
      <cdr:spPr>
        <a:xfrm xmlns:a="http://schemas.openxmlformats.org/drawingml/2006/main" flipH="1" flipV="1">
          <a:off x="3121026" y="0"/>
          <a:ext cx="31750" cy="2546350"/>
        </a:xfrm>
        <a:prstGeom xmlns:a="http://schemas.openxmlformats.org/drawingml/2006/main" prst="line">
          <a:avLst/>
        </a:prstGeom>
        <a:ln xmlns:a="http://schemas.openxmlformats.org/drawingml/2006/main" w="15875">
          <a:solidFill>
            <a:srgbClr val="00B05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0.40117</cdr:x>
      <cdr:y>0</cdr:y>
    </cdr:from>
    <cdr:to>
      <cdr:x>0.64399</cdr:x>
      <cdr:y>0.05333</cdr:y>
    </cdr:to>
    <cdr:sp macro="" textlink="">
      <cdr:nvSpPr>
        <cdr:cNvPr id="4" name="TextBox 5">
          <a:extLst xmlns:a="http://schemas.openxmlformats.org/drawingml/2006/main">
            <a:ext uri="{FF2B5EF4-FFF2-40B4-BE49-F238E27FC236}">
              <a16:creationId xmlns:a16="http://schemas.microsoft.com/office/drawing/2014/main" id="{F13124C1-DF99-4B90-B7D6-177D3921B5CC}"/>
            </a:ext>
          </a:extLst>
        </cdr:cNvPr>
        <cdr:cNvSpPr txBox="1"/>
      </cdr:nvSpPr>
      <cdr:spPr>
        <a:xfrm xmlns:a="http://schemas.openxmlformats.org/drawingml/2006/main">
          <a:off x="2171700" y="0"/>
          <a:ext cx="1314450" cy="190500"/>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1000">
              <a:solidFill>
                <a:srgbClr val="00B050"/>
              </a:solidFill>
            </a:rPr>
            <a:t>End</a:t>
          </a:r>
          <a:r>
            <a:rPr lang="en-GB" sz="1000" baseline="0">
              <a:solidFill>
                <a:srgbClr val="00B050"/>
              </a:solidFill>
            </a:rPr>
            <a:t> of primary school</a:t>
          </a:r>
          <a:endParaRPr lang="en-GB" sz="1000">
            <a:solidFill>
              <a:srgbClr val="00B050"/>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0.52846</cdr:x>
      <cdr:y>0.55811</cdr:y>
    </cdr:from>
    <cdr:to>
      <cdr:x>0.52846</cdr:x>
      <cdr:y>0.57422</cdr:y>
    </cdr:to>
    <cdr:cxnSp macro="">
      <cdr:nvCxnSpPr>
        <cdr:cNvPr id="3" name="Straight Connector 2">
          <a:extLst xmlns:a="http://schemas.openxmlformats.org/drawingml/2006/main">
            <a:ext uri="{FF2B5EF4-FFF2-40B4-BE49-F238E27FC236}">
              <a16:creationId xmlns:a16="http://schemas.microsoft.com/office/drawing/2014/main" id="{28B90237-0B5D-4D0A-96CB-24CF94F60177}"/>
            </a:ext>
          </a:extLst>
        </cdr:cNvPr>
        <cdr:cNvCxnSpPr/>
      </cdr:nvCxnSpPr>
      <cdr:spPr>
        <a:xfrm xmlns:a="http://schemas.openxmlformats.org/drawingml/2006/main" flipV="1">
          <a:off x="3095626" y="1539876"/>
          <a:ext cx="0" cy="444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0.53279</cdr:x>
      <cdr:y>0</cdr:y>
    </cdr:from>
    <cdr:to>
      <cdr:x>0.53821</cdr:x>
      <cdr:y>0.9229</cdr:y>
    </cdr:to>
    <cdr:cxnSp macro="">
      <cdr:nvCxnSpPr>
        <cdr:cNvPr id="5" name="Straight Connector 4">
          <a:extLst xmlns:a="http://schemas.openxmlformats.org/drawingml/2006/main">
            <a:ext uri="{FF2B5EF4-FFF2-40B4-BE49-F238E27FC236}">
              <a16:creationId xmlns:a16="http://schemas.microsoft.com/office/drawing/2014/main" id="{0FFC2305-0781-4329-8521-08AD5558D718}"/>
            </a:ext>
          </a:extLst>
        </cdr:cNvPr>
        <cdr:cNvCxnSpPr/>
      </cdr:nvCxnSpPr>
      <cdr:spPr>
        <a:xfrm xmlns:a="http://schemas.openxmlformats.org/drawingml/2006/main" flipH="1" flipV="1">
          <a:off x="3121026" y="0"/>
          <a:ext cx="31750" cy="2546350"/>
        </a:xfrm>
        <a:prstGeom xmlns:a="http://schemas.openxmlformats.org/drawingml/2006/main" prst="line">
          <a:avLst/>
        </a:prstGeom>
        <a:ln xmlns:a="http://schemas.openxmlformats.org/drawingml/2006/main" w="15875">
          <a:solidFill>
            <a:srgbClr val="00B05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0.52846</cdr:x>
      <cdr:y>0.55811</cdr:y>
    </cdr:from>
    <cdr:to>
      <cdr:x>0.52846</cdr:x>
      <cdr:y>0.57422</cdr:y>
    </cdr:to>
    <cdr:cxnSp macro="">
      <cdr:nvCxnSpPr>
        <cdr:cNvPr id="3" name="Straight Connector 2">
          <a:extLst xmlns:a="http://schemas.openxmlformats.org/drawingml/2006/main">
            <a:ext uri="{FF2B5EF4-FFF2-40B4-BE49-F238E27FC236}">
              <a16:creationId xmlns:a16="http://schemas.microsoft.com/office/drawing/2014/main" id="{28B90237-0B5D-4D0A-96CB-24CF94F60177}"/>
            </a:ext>
          </a:extLst>
        </cdr:cNvPr>
        <cdr:cNvCxnSpPr/>
      </cdr:nvCxnSpPr>
      <cdr:spPr>
        <a:xfrm xmlns:a="http://schemas.openxmlformats.org/drawingml/2006/main" flipV="1">
          <a:off x="3095626" y="1539876"/>
          <a:ext cx="0" cy="444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0.53279</cdr:x>
      <cdr:y>0</cdr:y>
    </cdr:from>
    <cdr:to>
      <cdr:x>0.53821</cdr:x>
      <cdr:y>0.9229</cdr:y>
    </cdr:to>
    <cdr:cxnSp macro="">
      <cdr:nvCxnSpPr>
        <cdr:cNvPr id="5" name="Straight Connector 4">
          <a:extLst xmlns:a="http://schemas.openxmlformats.org/drawingml/2006/main">
            <a:ext uri="{FF2B5EF4-FFF2-40B4-BE49-F238E27FC236}">
              <a16:creationId xmlns:a16="http://schemas.microsoft.com/office/drawing/2014/main" id="{0FFC2305-0781-4329-8521-08AD5558D718}"/>
            </a:ext>
          </a:extLst>
        </cdr:cNvPr>
        <cdr:cNvCxnSpPr/>
      </cdr:nvCxnSpPr>
      <cdr:spPr>
        <a:xfrm xmlns:a="http://schemas.openxmlformats.org/drawingml/2006/main" flipH="1" flipV="1">
          <a:off x="3121026" y="0"/>
          <a:ext cx="31750" cy="2546350"/>
        </a:xfrm>
        <a:prstGeom xmlns:a="http://schemas.openxmlformats.org/drawingml/2006/main" prst="line">
          <a:avLst/>
        </a:prstGeom>
        <a:ln xmlns:a="http://schemas.openxmlformats.org/drawingml/2006/main" w="15875">
          <a:solidFill>
            <a:srgbClr val="00B05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0.52846</cdr:x>
      <cdr:y>0.55811</cdr:y>
    </cdr:from>
    <cdr:to>
      <cdr:x>0.52846</cdr:x>
      <cdr:y>0.57422</cdr:y>
    </cdr:to>
    <cdr:cxnSp macro="">
      <cdr:nvCxnSpPr>
        <cdr:cNvPr id="3" name="Straight Connector 2">
          <a:extLst xmlns:a="http://schemas.openxmlformats.org/drawingml/2006/main">
            <a:ext uri="{FF2B5EF4-FFF2-40B4-BE49-F238E27FC236}">
              <a16:creationId xmlns:a16="http://schemas.microsoft.com/office/drawing/2014/main" id="{28B90237-0B5D-4D0A-96CB-24CF94F60177}"/>
            </a:ext>
          </a:extLst>
        </cdr:cNvPr>
        <cdr:cNvCxnSpPr/>
      </cdr:nvCxnSpPr>
      <cdr:spPr>
        <a:xfrm xmlns:a="http://schemas.openxmlformats.org/drawingml/2006/main" flipV="1">
          <a:off x="3095626" y="1539876"/>
          <a:ext cx="0" cy="444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0.52846</cdr:x>
      <cdr:y>0.55811</cdr:y>
    </cdr:from>
    <cdr:to>
      <cdr:x>0.52846</cdr:x>
      <cdr:y>0.57422</cdr:y>
    </cdr:to>
    <cdr:cxnSp macro="">
      <cdr:nvCxnSpPr>
        <cdr:cNvPr id="3" name="Straight Connector 2">
          <a:extLst xmlns:a="http://schemas.openxmlformats.org/drawingml/2006/main">
            <a:ext uri="{FF2B5EF4-FFF2-40B4-BE49-F238E27FC236}">
              <a16:creationId xmlns:a16="http://schemas.microsoft.com/office/drawing/2014/main" id="{28B90237-0B5D-4D0A-96CB-24CF94F60177}"/>
            </a:ext>
          </a:extLst>
        </cdr:cNvPr>
        <cdr:cNvCxnSpPr/>
      </cdr:nvCxnSpPr>
      <cdr:spPr>
        <a:xfrm xmlns:a="http://schemas.openxmlformats.org/drawingml/2006/main" flipV="1">
          <a:off x="3095626" y="1539876"/>
          <a:ext cx="0" cy="444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6.xml><?xml version="1.0" encoding="utf-8"?>
<c:userShapes xmlns:c="http://schemas.openxmlformats.org/drawingml/2006/chart">
  <cdr:relSizeAnchor xmlns:cdr="http://schemas.openxmlformats.org/drawingml/2006/chartDrawing">
    <cdr:from>
      <cdr:x>0.52846</cdr:x>
      <cdr:y>0.55811</cdr:y>
    </cdr:from>
    <cdr:to>
      <cdr:x>0.52846</cdr:x>
      <cdr:y>0.57422</cdr:y>
    </cdr:to>
    <cdr:cxnSp macro="">
      <cdr:nvCxnSpPr>
        <cdr:cNvPr id="3" name="Straight Connector 2">
          <a:extLst xmlns:a="http://schemas.openxmlformats.org/drawingml/2006/main">
            <a:ext uri="{FF2B5EF4-FFF2-40B4-BE49-F238E27FC236}">
              <a16:creationId xmlns:a16="http://schemas.microsoft.com/office/drawing/2014/main" id="{28B90237-0B5D-4D0A-96CB-24CF94F60177}"/>
            </a:ext>
          </a:extLst>
        </cdr:cNvPr>
        <cdr:cNvCxnSpPr/>
      </cdr:nvCxnSpPr>
      <cdr:spPr>
        <a:xfrm xmlns:a="http://schemas.openxmlformats.org/drawingml/2006/main" flipV="1">
          <a:off x="3095626" y="1539876"/>
          <a:ext cx="0" cy="444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74EEC-61DB-422A-9371-A02887327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9442</Words>
  <Characters>53822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Jerrim, John</dc:creator>
  <cp:keywords/>
  <dc:description/>
  <cp:lastModifiedBy>Jerrim, John</cp:lastModifiedBy>
  <cp:revision>5</cp:revision>
  <cp:lastPrinted>2024-12-17T14:51:00Z</cp:lastPrinted>
  <dcterms:created xsi:type="dcterms:W3CDTF">2025-04-09T12:28:00Z</dcterms:created>
  <dcterms:modified xsi:type="dcterms:W3CDTF">2025-05-02T13:08:00Z</dcterms:modified>
</cp:coreProperties>
</file>