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179AEA" w14:textId="77777777" w:rsidR="00041439" w:rsidRPr="00041439" w:rsidRDefault="00041439" w:rsidP="00041439">
      <w:pPr>
        <w:pStyle w:val="TitleI"/>
        <w:rPr>
          <w:rFonts w:ascii="Arial" w:hAnsi="Arial" w:cs="Arial"/>
        </w:rPr>
      </w:pPr>
      <w:r w:rsidRPr="00041439">
        <w:rPr>
          <w:rFonts w:ascii="Arial" w:hAnsi="Arial" w:cs="Arial"/>
        </w:rPr>
        <w:t xml:space="preserve">Nuffield Foundation </w:t>
      </w:r>
    </w:p>
    <w:p w14:paraId="319EF905" w14:textId="67923239" w:rsidR="00041439" w:rsidRPr="00D00197" w:rsidRDefault="00041439" w:rsidP="00041439">
      <w:pPr>
        <w:pStyle w:val="TitleII"/>
        <w:rPr>
          <w:rFonts w:ascii="Arial" w:hAnsi="Arial" w:cs="Arial"/>
          <w:b/>
        </w:rPr>
      </w:pPr>
      <w:r w:rsidRPr="00D00197">
        <w:rPr>
          <w:rFonts w:ascii="Arial" w:hAnsi="Arial" w:cs="Arial"/>
          <w:b/>
        </w:rPr>
        <w:t>Programme Head – Education</w:t>
      </w:r>
    </w:p>
    <w:p w14:paraId="3AC411F4" w14:textId="77777777" w:rsidR="00041439" w:rsidRPr="00041439" w:rsidRDefault="00041439" w:rsidP="00041439">
      <w:pPr>
        <w:pStyle w:val="Heading"/>
        <w:rPr>
          <w:rFonts w:ascii="Arial" w:hAnsi="Arial" w:cs="Arial"/>
          <w:sz w:val="22"/>
          <w:szCs w:val="22"/>
        </w:rPr>
      </w:pPr>
      <w:r w:rsidRPr="00041439">
        <w:rPr>
          <w:rFonts w:ascii="Arial" w:hAnsi="Arial" w:cs="Arial"/>
          <w:sz w:val="22"/>
          <w:szCs w:val="22"/>
        </w:rPr>
        <w:t xml:space="preserve">EXECUTIVE SUMMARY </w:t>
      </w:r>
    </w:p>
    <w:p w14:paraId="0EF18F04" w14:textId="77777777" w:rsidR="00041439" w:rsidRPr="002F6D46" w:rsidRDefault="00041439" w:rsidP="00041439">
      <w:pPr>
        <w:spacing w:after="0"/>
        <w:rPr>
          <w:rFonts w:ascii="Arial" w:hAnsi="Arial" w:cs="Arial"/>
        </w:rPr>
      </w:pPr>
      <w:r w:rsidRPr="002F6D46">
        <w:rPr>
          <w:rFonts w:ascii="Arial" w:hAnsi="Arial" w:cs="Arial"/>
        </w:rPr>
        <w:t>Contract: Fixed Term Maternity Cover – 12- months</w:t>
      </w:r>
    </w:p>
    <w:p w14:paraId="640849F8" w14:textId="77777777" w:rsidR="00041439" w:rsidRPr="002F6D46" w:rsidRDefault="00041439" w:rsidP="00041439">
      <w:pPr>
        <w:spacing w:after="0"/>
        <w:rPr>
          <w:rFonts w:ascii="Arial" w:hAnsi="Arial" w:cs="Arial"/>
        </w:rPr>
      </w:pPr>
      <w:r w:rsidRPr="002F6D46">
        <w:rPr>
          <w:rFonts w:ascii="Arial" w:hAnsi="Arial" w:cs="Arial"/>
        </w:rPr>
        <w:t>Location:  Bedford Square, Central London</w:t>
      </w:r>
    </w:p>
    <w:p w14:paraId="2D0A8DCE" w14:textId="7EE4CBCF" w:rsidR="00041439" w:rsidRPr="002F6D46" w:rsidRDefault="00041439" w:rsidP="00041439">
      <w:pPr>
        <w:spacing w:after="0"/>
        <w:rPr>
          <w:rFonts w:ascii="Arial" w:hAnsi="Arial" w:cs="Arial"/>
        </w:rPr>
      </w:pPr>
      <w:r w:rsidRPr="002F6D46">
        <w:rPr>
          <w:rFonts w:ascii="Arial" w:hAnsi="Arial" w:cs="Arial"/>
        </w:rPr>
        <w:t>Reports to: Director of Education</w:t>
      </w:r>
    </w:p>
    <w:p w14:paraId="2A6BAFF3" w14:textId="10F6685A" w:rsidR="003D5B0C" w:rsidRPr="002F6D46" w:rsidRDefault="003D5B0C" w:rsidP="00041439">
      <w:pPr>
        <w:spacing w:after="0"/>
        <w:rPr>
          <w:rFonts w:ascii="Arial" w:hAnsi="Arial" w:cs="Arial"/>
        </w:rPr>
      </w:pPr>
      <w:r w:rsidRPr="002F6D46">
        <w:rPr>
          <w:rFonts w:ascii="Arial" w:hAnsi="Arial" w:cs="Arial"/>
        </w:rPr>
        <w:t>Salary: circa £50,000 per annum</w:t>
      </w:r>
    </w:p>
    <w:p w14:paraId="08EEE218" w14:textId="77777777" w:rsidR="00041439" w:rsidRPr="002F6D46" w:rsidRDefault="00041439" w:rsidP="00041439">
      <w:pPr>
        <w:spacing w:after="0"/>
        <w:rPr>
          <w:rFonts w:ascii="Arial" w:hAnsi="Arial" w:cs="Arial"/>
        </w:rPr>
      </w:pPr>
    </w:p>
    <w:p w14:paraId="4F64666B" w14:textId="77777777" w:rsidR="00041439" w:rsidRPr="002F6D46" w:rsidRDefault="00041439" w:rsidP="00041439">
      <w:pPr>
        <w:rPr>
          <w:rFonts w:ascii="Arial" w:hAnsi="Arial" w:cs="Arial"/>
        </w:rPr>
      </w:pPr>
      <w:r w:rsidRPr="002F6D46">
        <w:rPr>
          <w:rFonts w:ascii="Arial" w:hAnsi="Arial" w:cs="Arial"/>
        </w:rPr>
        <w:t xml:space="preserve">The Nuffield Foundation is seeking a maternity cover for a Programme Head to shape and manage a portfolio of research grants in education. This is an exciting opportunity to help improve the understanding of how policy and practice can improve the life chances of children and young people. </w:t>
      </w:r>
    </w:p>
    <w:p w14:paraId="59B9FD72" w14:textId="132F8993" w:rsidR="00041439" w:rsidRPr="002F6D46" w:rsidRDefault="00041439" w:rsidP="00041439">
      <w:pPr>
        <w:rPr>
          <w:rFonts w:ascii="Arial" w:hAnsi="Arial" w:cs="Arial"/>
        </w:rPr>
      </w:pPr>
      <w:r w:rsidRPr="002F6D46">
        <w:rPr>
          <w:rFonts w:ascii="Arial" w:hAnsi="Arial" w:cs="Arial"/>
        </w:rPr>
        <w:t xml:space="preserve">The Nuffield Foundation is a charitable trust committed to improving social well-being by funding research and innovation projects in education and social policy.  It also builds research capacity in science and social science. </w:t>
      </w:r>
    </w:p>
    <w:p w14:paraId="4F3CF1CE" w14:textId="77777777" w:rsidR="00041439" w:rsidRPr="002F6D46" w:rsidRDefault="00041439" w:rsidP="00041439">
      <w:pPr>
        <w:rPr>
          <w:rFonts w:ascii="Arial" w:hAnsi="Arial" w:cs="Arial"/>
        </w:rPr>
      </w:pPr>
      <w:r w:rsidRPr="002F6D46">
        <w:rPr>
          <w:rFonts w:ascii="Arial" w:hAnsi="Arial" w:cs="Arial"/>
        </w:rPr>
        <w:t xml:space="preserve">There are two Programme Heads in the Directorate, working closely with the Director of Education to manage and articulate the funding priorities for the Foundation’s work in Education and Opportunity in line with the wider strategic purpose of the organisation. This will include the management of a portfolio of live grants, advising Trustees on consideration of applications and award of new grants, and ultimately improving the impact of the Foundation’s work. </w:t>
      </w:r>
    </w:p>
    <w:p w14:paraId="70153B2F" w14:textId="77777777" w:rsidR="00041439" w:rsidRPr="002F6D46" w:rsidRDefault="00041439" w:rsidP="00041439">
      <w:pPr>
        <w:rPr>
          <w:rFonts w:ascii="Arial" w:hAnsi="Arial" w:cs="Arial"/>
        </w:rPr>
      </w:pPr>
      <w:r w:rsidRPr="002F6D46">
        <w:rPr>
          <w:rFonts w:ascii="Arial" w:hAnsi="Arial" w:cs="Arial"/>
        </w:rPr>
        <w:t xml:space="preserve">The ideal candidate will be an excellent people and project manager with strong analytic skills. They should have knowledge of education and other developmental aspects of the lives of children, starting from provision and interventions for infancy and the early </w:t>
      </w:r>
      <w:proofErr w:type="gramStart"/>
      <w:r w:rsidRPr="002F6D46">
        <w:rPr>
          <w:rFonts w:ascii="Arial" w:hAnsi="Arial" w:cs="Arial"/>
        </w:rPr>
        <w:t>years</w:t>
      </w:r>
      <w:proofErr w:type="gramEnd"/>
      <w:r w:rsidRPr="002F6D46">
        <w:rPr>
          <w:rFonts w:ascii="Arial" w:hAnsi="Arial" w:cs="Arial"/>
        </w:rPr>
        <w:t xml:space="preserve"> period, through primary schooling, and in the transition into secondary education.   </w:t>
      </w:r>
    </w:p>
    <w:p w14:paraId="3D44F36E" w14:textId="45E60601" w:rsidR="00E958E5" w:rsidRPr="002F6D46" w:rsidRDefault="00E958E5" w:rsidP="00E958E5">
      <w:pPr>
        <w:spacing w:after="0" w:line="276" w:lineRule="auto"/>
        <w:rPr>
          <w:rFonts w:ascii="Arial" w:hAnsi="Arial" w:cs="Arial"/>
        </w:rPr>
      </w:pPr>
      <w:r w:rsidRPr="002F6D46">
        <w:rPr>
          <w:rFonts w:ascii="Arial" w:hAnsi="Arial" w:cs="Arial"/>
        </w:rPr>
        <w:t xml:space="preserve">To apply, please send your CV together with a covering letter addressing the criteria in the Person Specification to </w:t>
      </w:r>
      <w:hyperlink r:id="rId8" w:history="1">
        <w:r w:rsidRPr="002F6D46">
          <w:rPr>
            <w:rStyle w:val="Hyperlink"/>
            <w:rFonts w:ascii="Arial" w:hAnsi="Arial" w:cs="Arial"/>
          </w:rPr>
          <w:t>recruitment@nuffieldfoundation.org</w:t>
        </w:r>
      </w:hyperlink>
      <w:r w:rsidRPr="002F6D46">
        <w:rPr>
          <w:rFonts w:ascii="Arial" w:hAnsi="Arial" w:cs="Arial"/>
        </w:rPr>
        <w:t xml:space="preserve"> to reach us by </w:t>
      </w:r>
      <w:r w:rsidR="00396C99" w:rsidRPr="002F6D46">
        <w:rPr>
          <w:rFonts w:ascii="Arial" w:hAnsi="Arial" w:cs="Arial"/>
        </w:rPr>
        <w:t xml:space="preserve">Monday 17 April </w:t>
      </w:r>
      <w:r w:rsidRPr="002F6D46">
        <w:rPr>
          <w:rFonts w:ascii="Arial" w:hAnsi="Arial" w:cs="Arial"/>
        </w:rPr>
        <w:t>2017.</w:t>
      </w:r>
    </w:p>
    <w:p w14:paraId="198A122A" w14:textId="57AD9F70" w:rsidR="00041439" w:rsidRPr="002F6D46" w:rsidRDefault="00041439" w:rsidP="00072E1B">
      <w:pPr>
        <w:pStyle w:val="Heading"/>
        <w:jc w:val="left"/>
        <w:rPr>
          <w:rFonts w:ascii="Arial" w:hAnsi="Arial" w:cs="Arial"/>
          <w:sz w:val="22"/>
          <w:szCs w:val="22"/>
        </w:rPr>
      </w:pPr>
      <w:r w:rsidRPr="002F6D46">
        <w:rPr>
          <w:rFonts w:ascii="Arial" w:hAnsi="Arial" w:cs="Arial"/>
          <w:sz w:val="22"/>
          <w:szCs w:val="22"/>
        </w:rPr>
        <w:t>ORGANISAT</w:t>
      </w:r>
      <w:bookmarkStart w:id="0" w:name="_GoBack"/>
      <w:bookmarkEnd w:id="0"/>
      <w:r w:rsidRPr="002F6D46">
        <w:rPr>
          <w:rFonts w:ascii="Arial" w:hAnsi="Arial" w:cs="Arial"/>
          <w:sz w:val="22"/>
          <w:szCs w:val="22"/>
        </w:rPr>
        <w:t xml:space="preserve">ION </w:t>
      </w:r>
    </w:p>
    <w:p w14:paraId="60E7A368" w14:textId="77777777" w:rsidR="00041439" w:rsidRPr="002F6D46" w:rsidRDefault="00041439" w:rsidP="00072E1B">
      <w:pPr>
        <w:pStyle w:val="Textcopy"/>
        <w:rPr>
          <w:rFonts w:ascii="Arial" w:hAnsi="Arial" w:cs="Arial"/>
          <w:sz w:val="22"/>
          <w:szCs w:val="22"/>
        </w:rPr>
      </w:pPr>
      <w:r w:rsidRPr="002F6D46">
        <w:rPr>
          <w:rFonts w:ascii="Arial" w:hAnsi="Arial" w:cs="Arial"/>
          <w:sz w:val="22"/>
          <w:szCs w:val="22"/>
        </w:rPr>
        <w:t xml:space="preserve">The Nuffield Foundation is a charitable trust established in 1943 by William Morris, Lord Nuffield, the founder of Morris Motors Ltd. Its aim is to improve social well-being, by funding research and innovation projects in education and social policy; and building research capacity in science and social science.  </w:t>
      </w:r>
    </w:p>
    <w:p w14:paraId="3174B7EE" w14:textId="77777777" w:rsidR="00041439" w:rsidRPr="002F6D46" w:rsidRDefault="00041439" w:rsidP="00072E1B">
      <w:pPr>
        <w:pStyle w:val="Textcopy"/>
        <w:rPr>
          <w:rFonts w:ascii="Arial" w:hAnsi="Arial" w:cs="Arial"/>
          <w:sz w:val="22"/>
          <w:szCs w:val="22"/>
        </w:rPr>
      </w:pPr>
      <w:r w:rsidRPr="002F6D46">
        <w:rPr>
          <w:rFonts w:ascii="Arial" w:hAnsi="Arial" w:cs="Arial"/>
          <w:sz w:val="22"/>
          <w:szCs w:val="22"/>
        </w:rPr>
        <w:t>More specifically the Foundation achieves its aims by:</w:t>
      </w:r>
    </w:p>
    <w:p w14:paraId="65C0F58F" w14:textId="77777777" w:rsidR="00041439" w:rsidRPr="002F6D46" w:rsidRDefault="00041439" w:rsidP="00072E1B">
      <w:pPr>
        <w:pStyle w:val="BulletPoints"/>
        <w:jc w:val="left"/>
        <w:rPr>
          <w:rFonts w:ascii="Arial" w:hAnsi="Arial" w:cs="Arial"/>
          <w:sz w:val="22"/>
          <w:szCs w:val="22"/>
        </w:rPr>
      </w:pPr>
      <w:r w:rsidRPr="002F6D46">
        <w:rPr>
          <w:rFonts w:ascii="Arial" w:hAnsi="Arial" w:cs="Arial"/>
          <w:sz w:val="22"/>
          <w:szCs w:val="22"/>
        </w:rPr>
        <w:t>ensuring that policy and practice in its priority areas of interest are informed by robust evidence about and analysis of causes and consequences of educational and social change, and the effectiveness of interventions to improve outcomes;</w:t>
      </w:r>
    </w:p>
    <w:p w14:paraId="36994F75" w14:textId="77777777" w:rsidR="00041439" w:rsidRPr="002F6D46" w:rsidRDefault="00041439" w:rsidP="00072E1B">
      <w:pPr>
        <w:pStyle w:val="BulletPoints"/>
        <w:jc w:val="left"/>
        <w:rPr>
          <w:rFonts w:ascii="Arial" w:hAnsi="Arial" w:cs="Arial"/>
          <w:sz w:val="22"/>
          <w:szCs w:val="22"/>
        </w:rPr>
      </w:pPr>
      <w:r w:rsidRPr="002F6D46">
        <w:rPr>
          <w:rFonts w:ascii="Arial" w:hAnsi="Arial" w:cs="Arial"/>
          <w:sz w:val="22"/>
          <w:szCs w:val="22"/>
        </w:rPr>
        <w:lastRenderedPageBreak/>
        <w:t>providing a space for reflection and discussion about key social policy questions and how they may be resolved - in particular by bringing together different disciplinary perspectives that may be working in isolation; bridging policy, research and practitioner communities; and being  politically neutral;</w:t>
      </w:r>
    </w:p>
    <w:p w14:paraId="328A138C" w14:textId="77777777" w:rsidR="00041439" w:rsidRPr="002F6D46" w:rsidRDefault="00041439" w:rsidP="00072E1B">
      <w:pPr>
        <w:pStyle w:val="BulletPoints"/>
        <w:jc w:val="left"/>
        <w:rPr>
          <w:rFonts w:ascii="Arial" w:hAnsi="Arial" w:cs="Arial"/>
          <w:sz w:val="22"/>
          <w:szCs w:val="22"/>
        </w:rPr>
      </w:pPr>
      <w:r w:rsidRPr="002F6D46">
        <w:rPr>
          <w:rFonts w:ascii="Arial" w:hAnsi="Arial" w:cs="Arial"/>
          <w:sz w:val="22"/>
          <w:szCs w:val="22"/>
        </w:rPr>
        <w:t>identifying and setting medium and longer term agendas including identifying gaps in evidence in its areas of interest, and considering how they might be filled with robust research to inform policy or practice;</w:t>
      </w:r>
    </w:p>
    <w:p w14:paraId="761CA5BE" w14:textId="77777777" w:rsidR="00041439" w:rsidRPr="002F6D46" w:rsidRDefault="00041439" w:rsidP="00072E1B">
      <w:pPr>
        <w:pStyle w:val="BulletPoints"/>
        <w:jc w:val="left"/>
        <w:rPr>
          <w:rFonts w:ascii="Arial" w:hAnsi="Arial" w:cs="Arial"/>
          <w:sz w:val="22"/>
          <w:szCs w:val="22"/>
        </w:rPr>
      </w:pPr>
      <w:r w:rsidRPr="002F6D46">
        <w:rPr>
          <w:rFonts w:ascii="Arial" w:hAnsi="Arial" w:cs="Arial"/>
          <w:sz w:val="22"/>
          <w:szCs w:val="22"/>
        </w:rPr>
        <w:t xml:space="preserve">promoting, and where appropriate supporting, capacity building in the production, synthesis and use of high quality evidence including the development of appropriate data infrastructure and promotion of career choices in science and social science research. </w:t>
      </w:r>
    </w:p>
    <w:p w14:paraId="440F5997" w14:textId="77777777" w:rsidR="00041439" w:rsidRPr="002F6D46" w:rsidRDefault="00041439" w:rsidP="00072E1B">
      <w:pPr>
        <w:pStyle w:val="BulletPoints"/>
        <w:numPr>
          <w:ilvl w:val="0"/>
          <w:numId w:val="0"/>
        </w:numPr>
        <w:ind w:left="360"/>
        <w:jc w:val="left"/>
        <w:rPr>
          <w:rFonts w:ascii="Arial" w:hAnsi="Arial" w:cs="Arial"/>
          <w:sz w:val="22"/>
          <w:szCs w:val="22"/>
        </w:rPr>
      </w:pPr>
    </w:p>
    <w:p w14:paraId="1BECE188" w14:textId="18E7A82B" w:rsidR="00041439" w:rsidRPr="002F6D46" w:rsidRDefault="00041439" w:rsidP="00072E1B">
      <w:pPr>
        <w:pStyle w:val="Textcopy"/>
        <w:rPr>
          <w:rFonts w:ascii="Arial" w:hAnsi="Arial" w:cs="Arial"/>
          <w:sz w:val="22"/>
          <w:szCs w:val="22"/>
        </w:rPr>
      </w:pPr>
      <w:r w:rsidRPr="002F6D46">
        <w:rPr>
          <w:rFonts w:ascii="Arial" w:hAnsi="Arial" w:cs="Arial"/>
          <w:sz w:val="22"/>
          <w:szCs w:val="22"/>
        </w:rPr>
        <w:t>The Nuffield Foundation has an annual expenditure of about £11 million.  Its income comes from the interest on investments. It does not fundraise or receive funding from government but is financially and</w:t>
      </w:r>
      <w:r w:rsidR="00072E1B" w:rsidRPr="002F6D46">
        <w:rPr>
          <w:rFonts w:ascii="Arial" w:hAnsi="Arial" w:cs="Arial"/>
          <w:sz w:val="22"/>
          <w:szCs w:val="22"/>
        </w:rPr>
        <w:t xml:space="preserve"> politically independent. It </w:t>
      </w:r>
      <w:proofErr w:type="gramStart"/>
      <w:r w:rsidR="00072E1B" w:rsidRPr="002F6D46">
        <w:rPr>
          <w:rFonts w:ascii="Arial" w:hAnsi="Arial" w:cs="Arial"/>
          <w:sz w:val="22"/>
          <w:szCs w:val="22"/>
        </w:rPr>
        <w:t xml:space="preserve">is </w:t>
      </w:r>
      <w:r w:rsidRPr="002F6D46">
        <w:rPr>
          <w:rFonts w:ascii="Arial" w:hAnsi="Arial" w:cs="Arial"/>
          <w:sz w:val="22"/>
          <w:szCs w:val="22"/>
        </w:rPr>
        <w:t>governed</w:t>
      </w:r>
      <w:proofErr w:type="gramEnd"/>
      <w:r w:rsidRPr="002F6D46">
        <w:rPr>
          <w:rFonts w:ascii="Arial" w:hAnsi="Arial" w:cs="Arial"/>
          <w:sz w:val="22"/>
          <w:szCs w:val="22"/>
        </w:rPr>
        <w:t xml:space="preserve"> by a board of Trustees who meet four times a year but are involved in the work of the Foundation in significant ways in between these meetings.</w:t>
      </w:r>
    </w:p>
    <w:p w14:paraId="72F23631" w14:textId="77777777" w:rsidR="00D00197" w:rsidRDefault="00D00197" w:rsidP="00F93165">
      <w:pPr>
        <w:spacing w:after="0" w:line="276" w:lineRule="auto"/>
        <w:rPr>
          <w:rFonts w:ascii="Arial" w:hAnsi="Arial" w:cs="Arial"/>
          <w:bCs/>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
        <w:gridCol w:w="738"/>
        <w:gridCol w:w="3245"/>
        <w:gridCol w:w="2520"/>
        <w:gridCol w:w="1080"/>
        <w:gridCol w:w="1775"/>
      </w:tblGrid>
      <w:tr w:rsidR="00E958E5" w:rsidRPr="00D958C8" w14:paraId="5D63BB1C" w14:textId="77777777" w:rsidTr="003615B7">
        <w:tc>
          <w:tcPr>
            <w:tcW w:w="10343" w:type="dxa"/>
            <w:gridSpan w:val="6"/>
          </w:tcPr>
          <w:p w14:paraId="56E9AB76" w14:textId="1E7F86E8" w:rsidR="00E958E5" w:rsidRPr="00D958C8" w:rsidRDefault="00E958E5" w:rsidP="00396C99">
            <w:pPr>
              <w:spacing w:before="120" w:after="120"/>
              <w:rPr>
                <w:rFonts w:ascii="Arial" w:hAnsi="Arial" w:cs="Arial"/>
                <w:b/>
                <w:sz w:val="26"/>
              </w:rPr>
            </w:pPr>
            <w:r w:rsidRPr="00D958C8">
              <w:rPr>
                <w:rFonts w:ascii="Arial" w:hAnsi="Arial" w:cs="Arial"/>
                <w:b/>
                <w:sz w:val="26"/>
              </w:rPr>
              <w:t>JOB DESCRIPTIO</w:t>
            </w:r>
            <w:r w:rsidR="00396C99">
              <w:rPr>
                <w:rFonts w:ascii="Arial" w:hAnsi="Arial" w:cs="Arial"/>
                <w:b/>
                <w:sz w:val="26"/>
              </w:rPr>
              <w:t>N – Programme Head - Education</w:t>
            </w:r>
          </w:p>
        </w:tc>
      </w:tr>
      <w:tr w:rsidR="00E958E5" w:rsidRPr="00D958C8" w14:paraId="3345B436" w14:textId="77777777" w:rsidTr="003615B7">
        <w:trPr>
          <w:trHeight w:val="90"/>
        </w:trPr>
        <w:tc>
          <w:tcPr>
            <w:tcW w:w="1723" w:type="dxa"/>
            <w:gridSpan w:val="2"/>
            <w:shd w:val="clear" w:color="auto" w:fill="E6E6E6"/>
          </w:tcPr>
          <w:p w14:paraId="560E1AEE" w14:textId="77777777" w:rsidR="00E958E5" w:rsidRPr="00D958C8" w:rsidRDefault="00E958E5" w:rsidP="00E958E5">
            <w:pPr>
              <w:spacing w:before="120" w:after="120"/>
              <w:rPr>
                <w:rFonts w:ascii="Arial" w:hAnsi="Arial" w:cs="Arial"/>
              </w:rPr>
            </w:pPr>
            <w:r w:rsidRPr="00D958C8">
              <w:rPr>
                <w:rFonts w:ascii="Arial" w:hAnsi="Arial" w:cs="Arial"/>
              </w:rPr>
              <w:t>Job title</w:t>
            </w:r>
          </w:p>
        </w:tc>
        <w:tc>
          <w:tcPr>
            <w:tcW w:w="3245" w:type="dxa"/>
          </w:tcPr>
          <w:p w14:paraId="762BFCAA" w14:textId="719AC30E" w:rsidR="00E958E5" w:rsidRPr="00D958C8" w:rsidRDefault="00E958E5" w:rsidP="00E958E5">
            <w:pPr>
              <w:spacing w:before="120" w:after="120"/>
              <w:rPr>
                <w:rFonts w:ascii="Arial" w:hAnsi="Arial" w:cs="Arial"/>
                <w:b/>
              </w:rPr>
            </w:pPr>
            <w:r>
              <w:rPr>
                <w:rFonts w:ascii="Arial" w:hAnsi="Arial" w:cs="Arial"/>
                <w:b/>
              </w:rPr>
              <w:t>Programme Head</w:t>
            </w:r>
            <w:r w:rsidR="00396C99">
              <w:rPr>
                <w:rFonts w:ascii="Arial" w:hAnsi="Arial" w:cs="Arial"/>
                <w:b/>
              </w:rPr>
              <w:t xml:space="preserve"> - Education</w:t>
            </w:r>
          </w:p>
        </w:tc>
        <w:tc>
          <w:tcPr>
            <w:tcW w:w="2520" w:type="dxa"/>
            <w:shd w:val="clear" w:color="auto" w:fill="E6E6E6"/>
          </w:tcPr>
          <w:p w14:paraId="10890EA8" w14:textId="77777777" w:rsidR="00E958E5" w:rsidRPr="00D958C8" w:rsidRDefault="00E958E5" w:rsidP="00E958E5">
            <w:pPr>
              <w:spacing w:before="120" w:after="120"/>
              <w:rPr>
                <w:rFonts w:ascii="Arial" w:hAnsi="Arial" w:cs="Arial"/>
              </w:rPr>
            </w:pPr>
            <w:r w:rsidRPr="00D958C8">
              <w:rPr>
                <w:rFonts w:ascii="Arial" w:hAnsi="Arial" w:cs="Arial"/>
              </w:rPr>
              <w:t>Department</w:t>
            </w:r>
          </w:p>
        </w:tc>
        <w:tc>
          <w:tcPr>
            <w:tcW w:w="2855" w:type="dxa"/>
            <w:gridSpan w:val="2"/>
          </w:tcPr>
          <w:p w14:paraId="7503F11C" w14:textId="77777777" w:rsidR="00E958E5" w:rsidRPr="00D958C8" w:rsidRDefault="00E958E5" w:rsidP="00E958E5">
            <w:pPr>
              <w:spacing w:before="120" w:after="120"/>
              <w:rPr>
                <w:rFonts w:ascii="Arial" w:hAnsi="Arial" w:cs="Arial"/>
                <w:b/>
              </w:rPr>
            </w:pPr>
            <w:r>
              <w:rPr>
                <w:rFonts w:ascii="Arial" w:hAnsi="Arial" w:cs="Arial"/>
                <w:b/>
              </w:rPr>
              <w:t>Education and Life Chances</w:t>
            </w:r>
          </w:p>
        </w:tc>
      </w:tr>
      <w:tr w:rsidR="00E958E5" w:rsidRPr="00D958C8" w14:paraId="6A755E8F" w14:textId="77777777" w:rsidTr="003615B7">
        <w:trPr>
          <w:trHeight w:val="90"/>
        </w:trPr>
        <w:tc>
          <w:tcPr>
            <w:tcW w:w="1723" w:type="dxa"/>
            <w:gridSpan w:val="2"/>
            <w:shd w:val="clear" w:color="auto" w:fill="E6E6E6"/>
          </w:tcPr>
          <w:p w14:paraId="141F4AF8" w14:textId="77777777" w:rsidR="00E958E5" w:rsidRPr="00D958C8" w:rsidRDefault="00E958E5" w:rsidP="00E958E5">
            <w:pPr>
              <w:spacing w:before="120" w:after="120"/>
              <w:rPr>
                <w:rFonts w:ascii="Arial" w:hAnsi="Arial" w:cs="Arial"/>
              </w:rPr>
            </w:pPr>
            <w:r w:rsidRPr="00D958C8">
              <w:rPr>
                <w:rFonts w:ascii="Arial" w:hAnsi="Arial" w:cs="Arial"/>
              </w:rPr>
              <w:t>Job holder</w:t>
            </w:r>
          </w:p>
        </w:tc>
        <w:tc>
          <w:tcPr>
            <w:tcW w:w="3245" w:type="dxa"/>
          </w:tcPr>
          <w:p w14:paraId="0F8BCD49" w14:textId="77777777" w:rsidR="00E958E5" w:rsidRPr="00D958C8" w:rsidRDefault="00E958E5" w:rsidP="00E958E5">
            <w:pPr>
              <w:spacing w:before="120" w:after="120"/>
              <w:rPr>
                <w:rFonts w:ascii="Arial" w:hAnsi="Arial" w:cs="Arial"/>
                <w:b/>
              </w:rPr>
            </w:pPr>
          </w:p>
        </w:tc>
        <w:tc>
          <w:tcPr>
            <w:tcW w:w="2520" w:type="dxa"/>
            <w:shd w:val="clear" w:color="auto" w:fill="E6E6E6"/>
          </w:tcPr>
          <w:p w14:paraId="014F1E0C" w14:textId="77777777" w:rsidR="00E958E5" w:rsidRPr="00D958C8" w:rsidRDefault="00E958E5" w:rsidP="00E958E5">
            <w:pPr>
              <w:spacing w:before="120" w:after="120"/>
              <w:rPr>
                <w:rFonts w:ascii="Arial" w:hAnsi="Arial" w:cs="Arial"/>
              </w:rPr>
            </w:pPr>
            <w:r w:rsidRPr="00D958C8">
              <w:rPr>
                <w:rFonts w:ascii="Arial" w:hAnsi="Arial" w:cs="Arial"/>
              </w:rPr>
              <w:t>Reports to</w:t>
            </w:r>
          </w:p>
        </w:tc>
        <w:tc>
          <w:tcPr>
            <w:tcW w:w="2855" w:type="dxa"/>
            <w:gridSpan w:val="2"/>
          </w:tcPr>
          <w:p w14:paraId="5340727F" w14:textId="77777777" w:rsidR="00E958E5" w:rsidRPr="00D958C8" w:rsidRDefault="00E958E5" w:rsidP="00E958E5">
            <w:pPr>
              <w:spacing w:before="120" w:after="120"/>
              <w:rPr>
                <w:rFonts w:ascii="Arial" w:hAnsi="Arial" w:cs="Arial"/>
                <w:b/>
              </w:rPr>
            </w:pPr>
            <w:r>
              <w:rPr>
                <w:rFonts w:ascii="Arial" w:hAnsi="Arial" w:cs="Arial"/>
                <w:b/>
              </w:rPr>
              <w:t>Director of Education</w:t>
            </w:r>
          </w:p>
        </w:tc>
      </w:tr>
      <w:tr w:rsidR="00E958E5" w:rsidRPr="00D958C8" w14:paraId="46DF4BA6" w14:textId="77777777" w:rsidTr="003615B7">
        <w:trPr>
          <w:trHeight w:val="90"/>
        </w:trPr>
        <w:tc>
          <w:tcPr>
            <w:tcW w:w="1723" w:type="dxa"/>
            <w:gridSpan w:val="2"/>
            <w:shd w:val="clear" w:color="auto" w:fill="E6E6E6"/>
          </w:tcPr>
          <w:p w14:paraId="33B972E2" w14:textId="77777777" w:rsidR="00E958E5" w:rsidRPr="00D958C8" w:rsidRDefault="00E958E5" w:rsidP="00E958E5">
            <w:pPr>
              <w:spacing w:before="120" w:after="120"/>
              <w:rPr>
                <w:rFonts w:ascii="Arial" w:hAnsi="Arial" w:cs="Arial"/>
              </w:rPr>
            </w:pPr>
            <w:r w:rsidRPr="00D958C8">
              <w:rPr>
                <w:rFonts w:ascii="Arial" w:hAnsi="Arial" w:cs="Arial"/>
              </w:rPr>
              <w:t>Job type</w:t>
            </w:r>
          </w:p>
        </w:tc>
        <w:tc>
          <w:tcPr>
            <w:tcW w:w="3245" w:type="dxa"/>
          </w:tcPr>
          <w:p w14:paraId="6C792742" w14:textId="77777777" w:rsidR="00E958E5" w:rsidRPr="00D958C8" w:rsidRDefault="00E958E5" w:rsidP="00E958E5">
            <w:pPr>
              <w:spacing w:before="120" w:after="120"/>
              <w:rPr>
                <w:rFonts w:ascii="Arial" w:hAnsi="Arial" w:cs="Arial"/>
                <w:b/>
              </w:rPr>
            </w:pPr>
            <w:r>
              <w:rPr>
                <w:rFonts w:ascii="Arial" w:hAnsi="Arial" w:cs="Arial"/>
                <w:b/>
              </w:rPr>
              <w:t>Fixed term, maternity cover</w:t>
            </w:r>
          </w:p>
        </w:tc>
        <w:tc>
          <w:tcPr>
            <w:tcW w:w="2520" w:type="dxa"/>
            <w:shd w:val="clear" w:color="auto" w:fill="E6E6E6"/>
          </w:tcPr>
          <w:p w14:paraId="7EE40309" w14:textId="77777777" w:rsidR="00E958E5" w:rsidRPr="00D958C8" w:rsidRDefault="00E958E5" w:rsidP="00E958E5">
            <w:pPr>
              <w:spacing w:before="120" w:after="120"/>
              <w:rPr>
                <w:rFonts w:ascii="Arial" w:hAnsi="Arial" w:cs="Arial"/>
              </w:rPr>
            </w:pPr>
            <w:r w:rsidRPr="00D958C8">
              <w:rPr>
                <w:rFonts w:ascii="Arial" w:hAnsi="Arial" w:cs="Arial"/>
              </w:rPr>
              <w:t>Date created/amended</w:t>
            </w:r>
          </w:p>
        </w:tc>
        <w:tc>
          <w:tcPr>
            <w:tcW w:w="2855" w:type="dxa"/>
            <w:gridSpan w:val="2"/>
          </w:tcPr>
          <w:p w14:paraId="0C557E69" w14:textId="5939E247" w:rsidR="00E958E5" w:rsidRPr="00D958C8" w:rsidRDefault="00E958E5" w:rsidP="00E958E5">
            <w:pPr>
              <w:spacing w:before="120" w:after="120"/>
              <w:rPr>
                <w:rFonts w:ascii="Arial" w:hAnsi="Arial" w:cs="Arial"/>
                <w:b/>
              </w:rPr>
            </w:pPr>
          </w:p>
        </w:tc>
      </w:tr>
      <w:tr w:rsidR="00E958E5" w:rsidRPr="00D958C8" w14:paraId="7E06D0E3" w14:textId="77777777" w:rsidTr="003615B7">
        <w:tc>
          <w:tcPr>
            <w:tcW w:w="1723" w:type="dxa"/>
            <w:gridSpan w:val="2"/>
            <w:shd w:val="clear" w:color="auto" w:fill="E6E6E6"/>
          </w:tcPr>
          <w:p w14:paraId="7F660069" w14:textId="77777777" w:rsidR="00E958E5" w:rsidRPr="00D958C8" w:rsidRDefault="00E958E5" w:rsidP="00E958E5">
            <w:pPr>
              <w:spacing w:before="120" w:after="120"/>
              <w:rPr>
                <w:rFonts w:ascii="Arial" w:hAnsi="Arial" w:cs="Arial"/>
              </w:rPr>
            </w:pPr>
            <w:r w:rsidRPr="00D958C8">
              <w:rPr>
                <w:rFonts w:ascii="Arial" w:hAnsi="Arial" w:cs="Arial"/>
              </w:rPr>
              <w:t>Job aim</w:t>
            </w:r>
          </w:p>
        </w:tc>
        <w:tc>
          <w:tcPr>
            <w:tcW w:w="8620" w:type="dxa"/>
            <w:gridSpan w:val="4"/>
            <w:shd w:val="clear" w:color="auto" w:fill="auto"/>
          </w:tcPr>
          <w:p w14:paraId="072AA593" w14:textId="77777777" w:rsidR="00E958E5" w:rsidRDefault="00E958E5" w:rsidP="00E958E5">
            <w:pPr>
              <w:spacing w:before="120" w:after="120"/>
              <w:rPr>
                <w:rFonts w:ascii="Arial" w:hAnsi="Arial" w:cs="Arial"/>
              </w:rPr>
            </w:pPr>
            <w:r>
              <w:rPr>
                <w:rFonts w:ascii="Arial" w:hAnsi="Arial" w:cs="Arial"/>
              </w:rPr>
              <w:t>To develop and manage a portfolio of research grants and other initiatives that will improve the understanding of the education and life chances of children and young people (age 0-25), disparities in outcomes between them, causes and consequences of these disparities, and initiatives that might address them. To achieve this, funding and activity in this area will:</w:t>
            </w:r>
          </w:p>
          <w:p w14:paraId="0A1E9B66" w14:textId="77777777" w:rsidR="00E958E5" w:rsidRDefault="00E958E5" w:rsidP="00E958E5">
            <w:pPr>
              <w:pStyle w:val="ListParagraph"/>
              <w:numPr>
                <w:ilvl w:val="0"/>
                <w:numId w:val="11"/>
              </w:numPr>
              <w:spacing w:before="120" w:after="120" w:line="240" w:lineRule="auto"/>
              <w:rPr>
                <w:rFonts w:ascii="Arial" w:hAnsi="Arial" w:cs="Arial"/>
              </w:rPr>
            </w:pPr>
            <w:r>
              <w:rPr>
                <w:rFonts w:ascii="Arial" w:hAnsi="Arial" w:cs="Arial"/>
              </w:rPr>
              <w:t xml:space="preserve">ensure that the Foundation’s interests, both in terms of scope and types of work, are clearly articulated; </w:t>
            </w:r>
          </w:p>
          <w:p w14:paraId="533C44DC" w14:textId="77777777" w:rsidR="00E958E5" w:rsidRDefault="00E958E5" w:rsidP="00E958E5">
            <w:pPr>
              <w:pStyle w:val="ListParagraph"/>
              <w:numPr>
                <w:ilvl w:val="0"/>
                <w:numId w:val="11"/>
              </w:numPr>
              <w:spacing w:before="120" w:after="120" w:line="240" w:lineRule="auto"/>
              <w:rPr>
                <w:rFonts w:ascii="Arial" w:hAnsi="Arial" w:cs="Arial"/>
              </w:rPr>
            </w:pPr>
            <w:r>
              <w:rPr>
                <w:rFonts w:ascii="Arial" w:hAnsi="Arial" w:cs="Arial"/>
              </w:rPr>
              <w:t>attract and develop existing and emerging talent so that the quality of evidence generated and the sustainability of the field is improved</w:t>
            </w:r>
          </w:p>
          <w:p w14:paraId="4A2A9D96" w14:textId="77777777" w:rsidR="00E958E5" w:rsidRDefault="00E958E5" w:rsidP="00E958E5">
            <w:pPr>
              <w:pStyle w:val="ListParagraph"/>
              <w:numPr>
                <w:ilvl w:val="0"/>
                <w:numId w:val="11"/>
              </w:numPr>
              <w:spacing w:before="120" w:after="120" w:line="240" w:lineRule="auto"/>
              <w:rPr>
                <w:rFonts w:ascii="Arial" w:hAnsi="Arial" w:cs="Arial"/>
              </w:rPr>
            </w:pPr>
            <w:r>
              <w:rPr>
                <w:rFonts w:ascii="Arial" w:hAnsi="Arial" w:cs="Arial"/>
              </w:rPr>
              <w:t>identify gaps in the evidence base and explore possible ways of addressing them, including through work with external experts</w:t>
            </w:r>
          </w:p>
          <w:p w14:paraId="5FEC7262" w14:textId="77777777" w:rsidR="00E958E5" w:rsidRDefault="00E958E5" w:rsidP="00E958E5">
            <w:pPr>
              <w:pStyle w:val="ListParagraph"/>
              <w:numPr>
                <w:ilvl w:val="0"/>
                <w:numId w:val="11"/>
              </w:numPr>
              <w:spacing w:before="120" w:after="120" w:line="240" w:lineRule="auto"/>
              <w:rPr>
                <w:rFonts w:ascii="Arial" w:hAnsi="Arial" w:cs="Arial"/>
              </w:rPr>
            </w:pPr>
            <w:r>
              <w:rPr>
                <w:rFonts w:ascii="Arial" w:hAnsi="Arial" w:cs="Arial"/>
              </w:rPr>
              <w:t>attract partnership investment from other funders</w:t>
            </w:r>
            <w:r w:rsidRPr="00D11ACA">
              <w:rPr>
                <w:rFonts w:ascii="Arial" w:hAnsi="Arial" w:cs="Arial"/>
              </w:rPr>
              <w:t xml:space="preserve"> </w:t>
            </w:r>
          </w:p>
          <w:p w14:paraId="0CED1337" w14:textId="77777777" w:rsidR="00E958E5" w:rsidRPr="00D11ACA" w:rsidRDefault="00E958E5" w:rsidP="00E958E5">
            <w:pPr>
              <w:pStyle w:val="ListParagraph"/>
              <w:numPr>
                <w:ilvl w:val="0"/>
                <w:numId w:val="11"/>
              </w:numPr>
              <w:spacing w:before="120" w:after="120" w:line="240" w:lineRule="auto"/>
              <w:rPr>
                <w:rFonts w:ascii="Arial" w:hAnsi="Arial" w:cs="Arial"/>
              </w:rPr>
            </w:pPr>
            <w:r>
              <w:rPr>
                <w:rFonts w:ascii="Arial" w:hAnsi="Arial" w:cs="Arial"/>
              </w:rPr>
              <w:t>deliver measurable outcomes</w:t>
            </w:r>
          </w:p>
        </w:tc>
      </w:tr>
      <w:tr w:rsidR="00E958E5" w:rsidRPr="00D958C8" w14:paraId="3CC11947" w14:textId="77777777" w:rsidTr="003615B7">
        <w:tc>
          <w:tcPr>
            <w:tcW w:w="1723" w:type="dxa"/>
            <w:gridSpan w:val="2"/>
            <w:shd w:val="clear" w:color="auto" w:fill="E6E6E6"/>
          </w:tcPr>
          <w:p w14:paraId="66887F3C" w14:textId="77777777" w:rsidR="00E958E5" w:rsidRPr="00D958C8" w:rsidRDefault="00E958E5" w:rsidP="00E958E5">
            <w:pPr>
              <w:spacing w:before="120" w:after="120"/>
              <w:rPr>
                <w:rFonts w:ascii="Arial" w:hAnsi="Arial" w:cs="Arial"/>
                <w:i/>
                <w:sz w:val="20"/>
              </w:rPr>
            </w:pPr>
            <w:r w:rsidRPr="00D958C8">
              <w:rPr>
                <w:rFonts w:ascii="Arial" w:hAnsi="Arial" w:cs="Arial"/>
              </w:rPr>
              <w:t>Resources</w:t>
            </w:r>
          </w:p>
        </w:tc>
        <w:tc>
          <w:tcPr>
            <w:tcW w:w="8620" w:type="dxa"/>
            <w:gridSpan w:val="4"/>
            <w:shd w:val="clear" w:color="auto" w:fill="auto"/>
          </w:tcPr>
          <w:p w14:paraId="1D861ADC" w14:textId="77777777" w:rsidR="00E958E5" w:rsidRPr="005C7A5A" w:rsidRDefault="00E958E5" w:rsidP="00E958E5">
            <w:pPr>
              <w:spacing w:before="120" w:after="120"/>
              <w:rPr>
                <w:rFonts w:ascii="Arial" w:hAnsi="Arial" w:cs="Arial"/>
              </w:rPr>
            </w:pPr>
            <w:r>
              <w:rPr>
                <w:rFonts w:ascii="Arial" w:hAnsi="Arial" w:cs="Arial"/>
              </w:rPr>
              <w:t xml:space="preserve">Will be responsible for advising Trustees on the award of new grants of an annual value of c£2.5m (tbc) and for managing a portfolio of live grants of a value of c£5m (tbc).   They will be responsible for managing the grant-related work of the Director’s PA and will be able to draw on other staff support and budgets (for example in relation to events, and communications resources) as necessary and agreed with the Director of Education.  </w:t>
            </w:r>
          </w:p>
        </w:tc>
      </w:tr>
      <w:tr w:rsidR="00E958E5" w:rsidRPr="00D958C8" w14:paraId="32974371" w14:textId="77777777" w:rsidTr="003615B7">
        <w:tc>
          <w:tcPr>
            <w:tcW w:w="10343" w:type="dxa"/>
            <w:gridSpan w:val="6"/>
          </w:tcPr>
          <w:p w14:paraId="56F38AD7" w14:textId="77777777" w:rsidR="00E958E5" w:rsidRDefault="00E958E5" w:rsidP="00E958E5">
            <w:pPr>
              <w:spacing w:before="240" w:after="120"/>
              <w:rPr>
                <w:rFonts w:ascii="Arial" w:hAnsi="Arial" w:cs="Arial"/>
                <w:i/>
                <w:sz w:val="20"/>
              </w:rPr>
            </w:pPr>
            <w:r w:rsidRPr="00662C2F">
              <w:rPr>
                <w:rFonts w:ascii="Arial" w:hAnsi="Arial" w:cs="Arial"/>
                <w:b/>
              </w:rPr>
              <w:t>Responsibilities</w:t>
            </w:r>
          </w:p>
          <w:p w14:paraId="58222FF9" w14:textId="77777777" w:rsidR="00E958E5" w:rsidRPr="00D958C8" w:rsidRDefault="00E958E5" w:rsidP="00E958E5">
            <w:pPr>
              <w:spacing w:before="120" w:after="120"/>
              <w:rPr>
                <w:rFonts w:ascii="Arial" w:hAnsi="Arial" w:cs="Arial"/>
              </w:rPr>
            </w:pPr>
            <w:r w:rsidRPr="00E70BAC">
              <w:rPr>
                <w:rFonts w:ascii="Arial" w:hAnsi="Arial" w:cs="Arial"/>
                <w:b/>
                <w:sz w:val="20"/>
              </w:rPr>
              <w:t>Including but not limited to:</w:t>
            </w:r>
          </w:p>
        </w:tc>
      </w:tr>
      <w:tr w:rsidR="00E958E5" w:rsidRPr="00D958C8" w14:paraId="4116B495" w14:textId="77777777" w:rsidTr="003615B7">
        <w:tc>
          <w:tcPr>
            <w:tcW w:w="10343" w:type="dxa"/>
            <w:gridSpan w:val="6"/>
            <w:shd w:val="clear" w:color="auto" w:fill="E6E6E6"/>
          </w:tcPr>
          <w:p w14:paraId="700313AD" w14:textId="77777777" w:rsidR="00E958E5" w:rsidRPr="005C7A5A" w:rsidRDefault="00E958E5" w:rsidP="00E958E5">
            <w:pPr>
              <w:spacing w:before="120" w:after="120"/>
              <w:rPr>
                <w:rFonts w:ascii="Arial" w:hAnsi="Arial" w:cs="Arial"/>
                <w:b/>
              </w:rPr>
            </w:pPr>
            <w:r>
              <w:rPr>
                <w:rFonts w:ascii="Arial" w:hAnsi="Arial" w:cs="Arial"/>
                <w:b/>
              </w:rPr>
              <w:t>1. Shaping the development of the Education funding portfolio</w:t>
            </w:r>
          </w:p>
        </w:tc>
      </w:tr>
      <w:tr w:rsidR="00E958E5" w:rsidRPr="00D958C8" w14:paraId="2D1CA1ED" w14:textId="77777777" w:rsidTr="003615B7">
        <w:tc>
          <w:tcPr>
            <w:tcW w:w="985" w:type="dxa"/>
            <w:shd w:val="clear" w:color="auto" w:fill="auto"/>
          </w:tcPr>
          <w:p w14:paraId="1F1A7ECA" w14:textId="77777777" w:rsidR="00E958E5" w:rsidRPr="005C7A5A" w:rsidRDefault="00E958E5" w:rsidP="00E958E5">
            <w:pPr>
              <w:spacing w:before="120" w:after="120"/>
              <w:ind w:left="360"/>
              <w:jc w:val="right"/>
              <w:rPr>
                <w:rFonts w:ascii="Arial" w:hAnsi="Arial" w:cs="Arial"/>
                <w:i/>
              </w:rPr>
            </w:pPr>
          </w:p>
        </w:tc>
        <w:tc>
          <w:tcPr>
            <w:tcW w:w="9358" w:type="dxa"/>
            <w:gridSpan w:val="5"/>
            <w:shd w:val="clear" w:color="auto" w:fill="auto"/>
          </w:tcPr>
          <w:p w14:paraId="567EC9DF" w14:textId="77777777" w:rsidR="00E958E5" w:rsidRDefault="00E958E5" w:rsidP="00E958E5">
            <w:pPr>
              <w:spacing w:before="120" w:after="120"/>
              <w:rPr>
                <w:rFonts w:ascii="Arial" w:hAnsi="Arial" w:cs="Arial"/>
              </w:rPr>
            </w:pPr>
            <w:r w:rsidRPr="00E31D25">
              <w:rPr>
                <w:rFonts w:ascii="Arial" w:hAnsi="Arial" w:cs="Arial"/>
              </w:rPr>
              <w:t>Work</w:t>
            </w:r>
            <w:r w:rsidRPr="001341F6">
              <w:rPr>
                <w:rFonts w:ascii="Arial" w:hAnsi="Arial" w:cs="Arial"/>
              </w:rPr>
              <w:t xml:space="preserve"> with the Director of </w:t>
            </w:r>
            <w:r>
              <w:rPr>
                <w:rFonts w:ascii="Arial" w:hAnsi="Arial" w:cs="Arial"/>
              </w:rPr>
              <w:t xml:space="preserve">Education </w:t>
            </w:r>
            <w:r w:rsidRPr="001341F6">
              <w:rPr>
                <w:rFonts w:ascii="Arial" w:hAnsi="Arial" w:cs="Arial"/>
              </w:rPr>
              <w:t xml:space="preserve">to </w:t>
            </w:r>
            <w:r>
              <w:rPr>
                <w:rFonts w:ascii="Arial" w:hAnsi="Arial" w:cs="Arial"/>
              </w:rPr>
              <w:t>develop and articulate updated</w:t>
            </w:r>
            <w:r w:rsidRPr="001341F6">
              <w:rPr>
                <w:rFonts w:ascii="Arial" w:hAnsi="Arial" w:cs="Arial"/>
              </w:rPr>
              <w:t xml:space="preserve"> </w:t>
            </w:r>
            <w:r>
              <w:rPr>
                <w:rFonts w:ascii="Arial" w:hAnsi="Arial" w:cs="Arial"/>
              </w:rPr>
              <w:t xml:space="preserve">funding </w:t>
            </w:r>
            <w:r w:rsidRPr="001341F6">
              <w:rPr>
                <w:rFonts w:ascii="Arial" w:hAnsi="Arial" w:cs="Arial"/>
              </w:rPr>
              <w:t xml:space="preserve">priorities </w:t>
            </w:r>
            <w:r>
              <w:rPr>
                <w:rFonts w:ascii="Arial" w:hAnsi="Arial" w:cs="Arial"/>
              </w:rPr>
              <w:t xml:space="preserve">for this Directorate in support of the </w:t>
            </w:r>
            <w:proofErr w:type="gramStart"/>
            <w:r>
              <w:rPr>
                <w:rFonts w:ascii="Arial" w:hAnsi="Arial" w:cs="Arial"/>
              </w:rPr>
              <w:t>Foundation’s</w:t>
            </w:r>
            <w:proofErr w:type="gramEnd"/>
            <w:r>
              <w:rPr>
                <w:rFonts w:ascii="Arial" w:hAnsi="Arial" w:cs="Arial"/>
              </w:rPr>
              <w:t xml:space="preserve"> refreshed strategic purpose.  The overall aim is to improve understanding of how policy and practice can improve the life chances of children and young people.  </w:t>
            </w:r>
          </w:p>
          <w:p w14:paraId="59135C95" w14:textId="77777777" w:rsidR="00E958E5" w:rsidRPr="00A0559B" w:rsidRDefault="00E958E5" w:rsidP="00E958E5">
            <w:pPr>
              <w:spacing w:before="120" w:after="120"/>
              <w:rPr>
                <w:rFonts w:ascii="Arial" w:hAnsi="Arial" w:cs="Arial"/>
                <w:highlight w:val="yellow"/>
              </w:rPr>
            </w:pPr>
            <w:r>
              <w:rPr>
                <w:rFonts w:ascii="Arial" w:hAnsi="Arial" w:cs="Arial"/>
              </w:rPr>
              <w:t xml:space="preserve">In </w:t>
            </w:r>
            <w:proofErr w:type="gramStart"/>
            <w:r>
              <w:rPr>
                <w:rFonts w:ascii="Arial" w:hAnsi="Arial" w:cs="Arial"/>
              </w:rPr>
              <w:t>particular</w:t>
            </w:r>
            <w:proofErr w:type="gramEnd"/>
            <w:r>
              <w:rPr>
                <w:rFonts w:ascii="Arial" w:hAnsi="Arial" w:cs="Arial"/>
              </w:rPr>
              <w:t xml:space="preserve"> the work of the Directorate will explore:  the distribution of social and economic outcomes and how these change over the life course; the causes and consequences of different trajectories; and the development and evaluation of interventions to address disparities in outcomes.  A major focus for the Directorate will be education and other developmental aspects of the lives of children and young people, starting from provision and interventions for the early </w:t>
            </w:r>
            <w:proofErr w:type="gramStart"/>
            <w:r>
              <w:rPr>
                <w:rFonts w:ascii="Arial" w:hAnsi="Arial" w:cs="Arial"/>
              </w:rPr>
              <w:t>years</w:t>
            </w:r>
            <w:proofErr w:type="gramEnd"/>
            <w:r>
              <w:rPr>
                <w:rFonts w:ascii="Arial" w:hAnsi="Arial" w:cs="Arial"/>
              </w:rPr>
              <w:t xml:space="preserve"> period, through schooling, and into key transitions into further and higher </w:t>
            </w:r>
            <w:r>
              <w:rPr>
                <w:rFonts w:ascii="Arial" w:hAnsi="Arial" w:cs="Arial"/>
              </w:rPr>
              <w:lastRenderedPageBreak/>
              <w:t>education and the world of work.  It will also extend to other aspects of their lives, including family-related issues such as parenting, the interfaces between home and school, and adverse circumstances and vulnerabilities faced by children and young people such as developmental disadvantages, mental health issues, and poor access to educational choices and guidance.  Activities will include:</w:t>
            </w:r>
          </w:p>
          <w:p w14:paraId="56D3A189" w14:textId="77777777" w:rsidR="00E958E5" w:rsidRDefault="00E958E5" w:rsidP="00E958E5">
            <w:pPr>
              <w:numPr>
                <w:ilvl w:val="0"/>
                <w:numId w:val="7"/>
              </w:numPr>
              <w:spacing w:before="120" w:after="120" w:line="240" w:lineRule="auto"/>
              <w:rPr>
                <w:rFonts w:ascii="Arial" w:hAnsi="Arial" w:cs="Arial"/>
              </w:rPr>
            </w:pPr>
            <w:r>
              <w:rPr>
                <w:rFonts w:ascii="Arial" w:hAnsi="Arial" w:cs="Arial"/>
              </w:rPr>
              <w:t xml:space="preserve">Scanning for research and policy developments relevant to these areas of work and </w:t>
            </w:r>
            <w:proofErr w:type="gramStart"/>
            <w:r>
              <w:rPr>
                <w:rFonts w:ascii="Arial" w:hAnsi="Arial" w:cs="Arial"/>
              </w:rPr>
              <w:t>advise</w:t>
            </w:r>
            <w:proofErr w:type="gramEnd"/>
            <w:r>
              <w:rPr>
                <w:rFonts w:ascii="Arial" w:hAnsi="Arial" w:cs="Arial"/>
              </w:rPr>
              <w:t xml:space="preserve"> relevant Director(s) and other Programme Heads on implications for the Foundation’s activity.</w:t>
            </w:r>
          </w:p>
          <w:p w14:paraId="0FE8E3B5" w14:textId="77777777" w:rsidR="00E958E5" w:rsidRPr="005C7A5A" w:rsidRDefault="00E958E5" w:rsidP="00E958E5">
            <w:pPr>
              <w:numPr>
                <w:ilvl w:val="0"/>
                <w:numId w:val="7"/>
              </w:numPr>
              <w:spacing w:before="120" w:after="120" w:line="240" w:lineRule="auto"/>
              <w:rPr>
                <w:rFonts w:ascii="Arial" w:hAnsi="Arial" w:cs="Arial"/>
              </w:rPr>
            </w:pPr>
            <w:r>
              <w:rPr>
                <w:rFonts w:ascii="Arial" w:hAnsi="Arial" w:cs="Arial"/>
              </w:rPr>
              <w:t xml:space="preserve">Undertaking occasional research reviews to help identify gaps or scope new strands of work within our areas of priority interest  </w:t>
            </w:r>
          </w:p>
          <w:p w14:paraId="74744F8C" w14:textId="77777777" w:rsidR="00E958E5" w:rsidRPr="0036799D" w:rsidRDefault="00E958E5" w:rsidP="00E958E5">
            <w:pPr>
              <w:numPr>
                <w:ilvl w:val="0"/>
                <w:numId w:val="2"/>
              </w:numPr>
              <w:spacing w:before="120" w:after="120" w:line="240" w:lineRule="auto"/>
              <w:rPr>
                <w:rFonts w:ascii="Arial" w:hAnsi="Arial" w:cs="Arial"/>
              </w:rPr>
            </w:pPr>
            <w:r>
              <w:rPr>
                <w:rFonts w:ascii="Arial" w:hAnsi="Arial" w:cs="Arial"/>
              </w:rPr>
              <w:t>Where necessary or appropriate drafting or shaping tender or commissioning briefs for specific pieces of work.</w:t>
            </w:r>
          </w:p>
        </w:tc>
      </w:tr>
      <w:tr w:rsidR="00E958E5" w:rsidRPr="00D958C8" w14:paraId="533EE505" w14:textId="77777777" w:rsidTr="003615B7">
        <w:tc>
          <w:tcPr>
            <w:tcW w:w="10343" w:type="dxa"/>
            <w:gridSpan w:val="6"/>
            <w:shd w:val="clear" w:color="auto" w:fill="E6E6E6"/>
          </w:tcPr>
          <w:p w14:paraId="3E7CC283" w14:textId="77777777" w:rsidR="00E958E5" w:rsidRPr="005C7A5A" w:rsidRDefault="00E958E5" w:rsidP="00E958E5">
            <w:pPr>
              <w:spacing w:before="120" w:after="120"/>
              <w:rPr>
                <w:rFonts w:ascii="Arial" w:hAnsi="Arial" w:cs="Arial"/>
                <w:b/>
              </w:rPr>
            </w:pPr>
            <w:r w:rsidRPr="005C7A5A">
              <w:rPr>
                <w:rFonts w:ascii="Arial" w:hAnsi="Arial" w:cs="Arial"/>
                <w:b/>
              </w:rPr>
              <w:lastRenderedPageBreak/>
              <w:t xml:space="preserve">2. </w:t>
            </w:r>
            <w:r>
              <w:rPr>
                <w:rFonts w:ascii="Arial" w:hAnsi="Arial" w:cs="Arial"/>
                <w:b/>
              </w:rPr>
              <w:t>Manage agreed applications and live grants in the Education and Life Chances grant portfolio</w:t>
            </w:r>
          </w:p>
        </w:tc>
      </w:tr>
      <w:tr w:rsidR="00E958E5" w:rsidRPr="00D958C8" w14:paraId="04AD5DF7" w14:textId="77777777" w:rsidTr="003615B7">
        <w:tc>
          <w:tcPr>
            <w:tcW w:w="985" w:type="dxa"/>
            <w:shd w:val="clear" w:color="auto" w:fill="auto"/>
          </w:tcPr>
          <w:p w14:paraId="2EE4CAF5" w14:textId="77777777" w:rsidR="00E958E5" w:rsidRPr="005C7A5A" w:rsidRDefault="00E958E5" w:rsidP="00E958E5">
            <w:pPr>
              <w:spacing w:before="120" w:after="120"/>
              <w:ind w:left="360"/>
              <w:jc w:val="right"/>
              <w:rPr>
                <w:rFonts w:ascii="Arial" w:hAnsi="Arial" w:cs="Arial"/>
                <w:i/>
              </w:rPr>
            </w:pPr>
          </w:p>
        </w:tc>
        <w:tc>
          <w:tcPr>
            <w:tcW w:w="9358" w:type="dxa"/>
            <w:gridSpan w:val="5"/>
            <w:shd w:val="clear" w:color="auto" w:fill="auto"/>
          </w:tcPr>
          <w:p w14:paraId="1A4AE030" w14:textId="77777777" w:rsidR="00E958E5" w:rsidRDefault="00E958E5" w:rsidP="00E958E5">
            <w:pPr>
              <w:numPr>
                <w:ilvl w:val="0"/>
                <w:numId w:val="2"/>
              </w:numPr>
              <w:spacing w:before="120" w:after="120" w:line="240" w:lineRule="auto"/>
              <w:rPr>
                <w:rFonts w:ascii="Arial" w:hAnsi="Arial" w:cs="Arial"/>
              </w:rPr>
            </w:pPr>
            <w:r>
              <w:rPr>
                <w:rFonts w:ascii="Arial" w:hAnsi="Arial" w:cs="Arial"/>
              </w:rPr>
              <w:t xml:space="preserve">Plan, lead and coordinate grant making processes for each round – consistent with Foundation-wide policy and practice in </w:t>
            </w:r>
            <w:proofErr w:type="spellStart"/>
            <w:r>
              <w:rPr>
                <w:rFonts w:ascii="Arial" w:hAnsi="Arial" w:cs="Arial"/>
              </w:rPr>
              <w:t>grantmaking</w:t>
            </w:r>
            <w:proofErr w:type="spellEnd"/>
            <w:r>
              <w:rPr>
                <w:rFonts w:ascii="Arial" w:hAnsi="Arial" w:cs="Arial"/>
              </w:rPr>
              <w:t xml:space="preserve"> </w:t>
            </w:r>
            <w:proofErr w:type="gramStart"/>
            <w:r>
              <w:rPr>
                <w:rFonts w:ascii="Arial" w:hAnsi="Arial" w:cs="Arial"/>
              </w:rPr>
              <w:t>-  ensuring</w:t>
            </w:r>
            <w:proofErr w:type="gramEnd"/>
            <w:r>
              <w:rPr>
                <w:rFonts w:ascii="Arial" w:hAnsi="Arial" w:cs="Arial"/>
              </w:rPr>
              <w:t xml:space="preserve"> clear timetable, and effective triage and progress tracking of live applications in the system. </w:t>
            </w:r>
          </w:p>
          <w:p w14:paraId="45875A58" w14:textId="77777777" w:rsidR="00E958E5" w:rsidRDefault="00E958E5" w:rsidP="00E958E5">
            <w:pPr>
              <w:numPr>
                <w:ilvl w:val="0"/>
                <w:numId w:val="2"/>
              </w:numPr>
              <w:spacing w:before="120" w:after="120" w:line="240" w:lineRule="auto"/>
              <w:rPr>
                <w:rFonts w:ascii="Arial" w:hAnsi="Arial" w:cs="Arial"/>
              </w:rPr>
            </w:pPr>
            <w:r>
              <w:rPr>
                <w:rFonts w:ascii="Arial" w:hAnsi="Arial" w:cs="Arial"/>
              </w:rPr>
              <w:t xml:space="preserve">Assess, and provide formative comments on outline and full applications – seeking input from colleagues and Trustees as appropriate – and decide how they </w:t>
            </w:r>
            <w:proofErr w:type="gramStart"/>
            <w:r>
              <w:rPr>
                <w:rFonts w:ascii="Arial" w:hAnsi="Arial" w:cs="Arial"/>
              </w:rPr>
              <w:t>should be handled</w:t>
            </w:r>
            <w:proofErr w:type="gramEnd"/>
            <w:r w:rsidRPr="005C7A5A">
              <w:rPr>
                <w:rFonts w:ascii="Arial" w:hAnsi="Arial" w:cs="Arial"/>
              </w:rPr>
              <w:t>.</w:t>
            </w:r>
            <w:r>
              <w:rPr>
                <w:rFonts w:ascii="Arial" w:hAnsi="Arial" w:cs="Arial"/>
              </w:rPr>
              <w:t xml:space="preserve">  Ensure clear and timely outcomes </w:t>
            </w:r>
            <w:proofErr w:type="gramStart"/>
            <w:r>
              <w:rPr>
                <w:rFonts w:ascii="Arial" w:hAnsi="Arial" w:cs="Arial"/>
              </w:rPr>
              <w:t>are communicated</w:t>
            </w:r>
            <w:proofErr w:type="gramEnd"/>
            <w:r>
              <w:rPr>
                <w:rFonts w:ascii="Arial" w:hAnsi="Arial" w:cs="Arial"/>
              </w:rPr>
              <w:t xml:space="preserve"> to applicants, with constructive feedback where appropriate. </w:t>
            </w:r>
          </w:p>
          <w:p w14:paraId="74A1B1B1" w14:textId="77777777" w:rsidR="00E958E5" w:rsidRPr="0098499F" w:rsidRDefault="00E958E5" w:rsidP="00E958E5">
            <w:pPr>
              <w:numPr>
                <w:ilvl w:val="0"/>
                <w:numId w:val="2"/>
              </w:numPr>
              <w:spacing w:before="120" w:after="120" w:line="240" w:lineRule="auto"/>
              <w:rPr>
                <w:rFonts w:ascii="Arial" w:hAnsi="Arial" w:cs="Arial"/>
              </w:rPr>
            </w:pPr>
            <w:r>
              <w:rPr>
                <w:rFonts w:ascii="Arial" w:hAnsi="Arial" w:cs="Arial"/>
              </w:rPr>
              <w:t xml:space="preserve">Arrange for peer reviews of applications, synthesise comments and request responses from applicants.  </w:t>
            </w:r>
          </w:p>
          <w:p w14:paraId="7A2AB754" w14:textId="77777777" w:rsidR="00E958E5" w:rsidRDefault="00E958E5" w:rsidP="00E958E5">
            <w:pPr>
              <w:numPr>
                <w:ilvl w:val="0"/>
                <w:numId w:val="2"/>
              </w:numPr>
              <w:spacing w:before="120" w:after="120" w:line="240" w:lineRule="auto"/>
              <w:rPr>
                <w:rFonts w:ascii="Arial" w:hAnsi="Arial" w:cs="Arial"/>
              </w:rPr>
            </w:pPr>
            <w:r>
              <w:rPr>
                <w:rFonts w:ascii="Arial" w:hAnsi="Arial" w:cs="Arial"/>
              </w:rPr>
              <w:t>Lead management of key grants and strategic projects [e.g. early years interventions, post-16 mathematics, and computing education) ensure appropriate advisory arrangements, including participation in advisory groups for high priority projects.</w:t>
            </w:r>
          </w:p>
          <w:p w14:paraId="53C7FE3C" w14:textId="77777777" w:rsidR="00E958E5" w:rsidRDefault="00E958E5" w:rsidP="00E958E5">
            <w:pPr>
              <w:numPr>
                <w:ilvl w:val="0"/>
                <w:numId w:val="2"/>
              </w:numPr>
              <w:spacing w:before="120" w:after="120" w:line="240" w:lineRule="auto"/>
              <w:rPr>
                <w:rFonts w:ascii="Arial" w:hAnsi="Arial" w:cs="Arial"/>
              </w:rPr>
            </w:pPr>
            <w:r>
              <w:rPr>
                <w:rFonts w:ascii="Arial" w:hAnsi="Arial" w:cs="Arial"/>
              </w:rPr>
              <w:t xml:space="preserve">Manage the work of the grants administrator to actively monitor and manage grants and other projects to ensure effective progress, responding to change requests and providing timely advice to grant-holders where needed.   </w:t>
            </w:r>
          </w:p>
          <w:p w14:paraId="3A713337" w14:textId="77777777" w:rsidR="00E958E5" w:rsidRDefault="00E958E5" w:rsidP="00E958E5">
            <w:pPr>
              <w:numPr>
                <w:ilvl w:val="0"/>
                <w:numId w:val="2"/>
              </w:numPr>
              <w:spacing w:before="120" w:after="120" w:line="240" w:lineRule="auto"/>
              <w:rPr>
                <w:rFonts w:ascii="Arial" w:hAnsi="Arial" w:cs="Arial"/>
              </w:rPr>
            </w:pPr>
            <w:r>
              <w:rPr>
                <w:rFonts w:ascii="Arial" w:hAnsi="Arial" w:cs="Arial"/>
              </w:rPr>
              <w:t>Review the communication plans, substantive reports and other outputs from funded projects, taking advice from the Communications Manager on production of Nuffield-branded reports and briefing papers where appropriate.</w:t>
            </w:r>
          </w:p>
          <w:p w14:paraId="23C6A2A5" w14:textId="77777777" w:rsidR="00E958E5" w:rsidRDefault="00E958E5" w:rsidP="00E958E5">
            <w:pPr>
              <w:numPr>
                <w:ilvl w:val="0"/>
                <w:numId w:val="2"/>
              </w:numPr>
              <w:spacing w:before="120" w:after="120" w:line="240" w:lineRule="auto"/>
              <w:rPr>
                <w:rFonts w:ascii="Arial" w:hAnsi="Arial" w:cs="Arial"/>
              </w:rPr>
            </w:pPr>
            <w:r>
              <w:rPr>
                <w:rFonts w:ascii="Arial" w:hAnsi="Arial" w:cs="Arial"/>
              </w:rPr>
              <w:t>Plan and curate seminars and other events to disseminate and build on learning from grant-funded projects and related work (including past projects where appropriate).</w:t>
            </w:r>
          </w:p>
          <w:p w14:paraId="165A495E" w14:textId="77777777" w:rsidR="00E958E5" w:rsidRDefault="00E958E5" w:rsidP="00E958E5">
            <w:pPr>
              <w:numPr>
                <w:ilvl w:val="0"/>
                <w:numId w:val="2"/>
              </w:numPr>
              <w:spacing w:before="120" w:after="120" w:line="240" w:lineRule="auto"/>
              <w:rPr>
                <w:rFonts w:ascii="Arial" w:hAnsi="Arial" w:cs="Arial"/>
              </w:rPr>
            </w:pPr>
            <w:r>
              <w:rPr>
                <w:rFonts w:ascii="Arial" w:hAnsi="Arial" w:cs="Arial"/>
              </w:rPr>
              <w:t>Produce updates for Trustees and stakeholders on our key areas of work (e.g. newsletters, specific notes).</w:t>
            </w:r>
          </w:p>
          <w:p w14:paraId="20BD622F" w14:textId="77777777" w:rsidR="00E958E5" w:rsidRDefault="00E958E5" w:rsidP="00E958E5">
            <w:pPr>
              <w:pStyle w:val="Header"/>
              <w:numPr>
                <w:ilvl w:val="0"/>
                <w:numId w:val="2"/>
              </w:numPr>
              <w:tabs>
                <w:tab w:val="clear" w:pos="4513"/>
                <w:tab w:val="clear" w:pos="9026"/>
                <w:tab w:val="center" w:pos="4320"/>
                <w:tab w:val="right" w:pos="8640"/>
              </w:tabs>
              <w:spacing w:after="60" w:line="288" w:lineRule="auto"/>
              <w:rPr>
                <w:rFonts w:ascii="Arial" w:hAnsi="Arial" w:cs="Arial"/>
              </w:rPr>
            </w:pPr>
            <w:r w:rsidRPr="00715E15">
              <w:rPr>
                <w:rFonts w:ascii="Arial" w:hAnsi="Arial" w:cs="Arial"/>
              </w:rPr>
              <w:t xml:space="preserve">Identify, monitor and manage </w:t>
            </w:r>
            <w:r>
              <w:rPr>
                <w:rFonts w:ascii="Arial" w:hAnsi="Arial" w:cs="Arial"/>
              </w:rPr>
              <w:t>portfolio</w:t>
            </w:r>
            <w:r w:rsidRPr="00715E15">
              <w:rPr>
                <w:rFonts w:ascii="Arial" w:hAnsi="Arial" w:cs="Arial"/>
              </w:rPr>
              <w:t xml:space="preserve"> risks, and </w:t>
            </w:r>
            <w:proofErr w:type="gramStart"/>
            <w:r w:rsidRPr="00715E15">
              <w:rPr>
                <w:rFonts w:ascii="Arial" w:hAnsi="Arial" w:cs="Arial"/>
              </w:rPr>
              <w:t>make adjustmen</w:t>
            </w:r>
            <w:r>
              <w:rPr>
                <w:rFonts w:ascii="Arial" w:hAnsi="Arial" w:cs="Arial"/>
              </w:rPr>
              <w:t>ts to</w:t>
            </w:r>
            <w:proofErr w:type="gramEnd"/>
            <w:r>
              <w:rPr>
                <w:rFonts w:ascii="Arial" w:hAnsi="Arial" w:cs="Arial"/>
              </w:rPr>
              <w:t xml:space="preserve"> delivery where required.</w:t>
            </w:r>
          </w:p>
          <w:p w14:paraId="1C6C600C" w14:textId="77777777" w:rsidR="00E958E5" w:rsidRPr="00853082" w:rsidRDefault="00E958E5" w:rsidP="00E958E5">
            <w:pPr>
              <w:pStyle w:val="Header"/>
              <w:tabs>
                <w:tab w:val="center" w:pos="4320"/>
                <w:tab w:val="right" w:pos="8640"/>
              </w:tabs>
              <w:spacing w:after="60" w:line="288" w:lineRule="auto"/>
              <w:ind w:left="360"/>
              <w:rPr>
                <w:rFonts w:ascii="Arial" w:hAnsi="Arial" w:cs="Arial"/>
              </w:rPr>
            </w:pPr>
          </w:p>
        </w:tc>
      </w:tr>
      <w:tr w:rsidR="00E958E5" w:rsidRPr="00D958C8" w14:paraId="6B7F72A1" w14:textId="77777777" w:rsidTr="003615B7">
        <w:tc>
          <w:tcPr>
            <w:tcW w:w="10343" w:type="dxa"/>
            <w:gridSpan w:val="6"/>
            <w:shd w:val="clear" w:color="auto" w:fill="D9D9D9"/>
          </w:tcPr>
          <w:p w14:paraId="09FA89A7" w14:textId="77777777" w:rsidR="00E958E5" w:rsidRPr="005C7A5A" w:rsidRDefault="00E958E5" w:rsidP="00E958E5">
            <w:pPr>
              <w:spacing w:before="120" w:after="120"/>
              <w:rPr>
                <w:rFonts w:ascii="Arial" w:hAnsi="Arial" w:cs="Arial"/>
                <w:b/>
              </w:rPr>
            </w:pPr>
            <w:r w:rsidRPr="005C7A5A">
              <w:rPr>
                <w:rFonts w:ascii="Arial" w:hAnsi="Arial" w:cs="Arial"/>
                <w:b/>
              </w:rPr>
              <w:t xml:space="preserve">3. </w:t>
            </w:r>
            <w:r>
              <w:rPr>
                <w:rFonts w:ascii="Arial" w:hAnsi="Arial" w:cs="Arial"/>
                <w:b/>
              </w:rPr>
              <w:t>Improving the impact of the Foundation’s work in Education and Life Chances</w:t>
            </w:r>
          </w:p>
        </w:tc>
      </w:tr>
      <w:tr w:rsidR="00E958E5" w:rsidRPr="00D958C8" w14:paraId="65251AD0" w14:textId="77777777" w:rsidTr="003615B7">
        <w:tc>
          <w:tcPr>
            <w:tcW w:w="985" w:type="dxa"/>
            <w:shd w:val="clear" w:color="auto" w:fill="auto"/>
          </w:tcPr>
          <w:p w14:paraId="135D75B7" w14:textId="77777777" w:rsidR="00E958E5" w:rsidRPr="005C7A5A" w:rsidRDefault="00E958E5" w:rsidP="00E958E5">
            <w:pPr>
              <w:spacing w:before="120" w:after="120"/>
              <w:ind w:left="360"/>
              <w:jc w:val="right"/>
              <w:rPr>
                <w:rFonts w:ascii="Arial" w:hAnsi="Arial" w:cs="Arial"/>
                <w:i/>
              </w:rPr>
            </w:pPr>
          </w:p>
        </w:tc>
        <w:tc>
          <w:tcPr>
            <w:tcW w:w="9358" w:type="dxa"/>
            <w:gridSpan w:val="5"/>
            <w:shd w:val="clear" w:color="auto" w:fill="auto"/>
          </w:tcPr>
          <w:p w14:paraId="03799E43" w14:textId="77777777" w:rsidR="00E958E5" w:rsidRDefault="00E958E5" w:rsidP="00E958E5">
            <w:pPr>
              <w:numPr>
                <w:ilvl w:val="0"/>
                <w:numId w:val="8"/>
              </w:numPr>
              <w:spacing w:before="120" w:after="120" w:line="240" w:lineRule="auto"/>
              <w:rPr>
                <w:rFonts w:ascii="Arial" w:hAnsi="Arial" w:cs="Arial"/>
              </w:rPr>
            </w:pPr>
            <w:r>
              <w:rPr>
                <w:rFonts w:ascii="Arial" w:hAnsi="Arial" w:cs="Arial"/>
              </w:rPr>
              <w:t xml:space="preserve">Ensure emerging knowledge and learning across the Directorate </w:t>
            </w:r>
            <w:proofErr w:type="gramStart"/>
            <w:r>
              <w:rPr>
                <w:rFonts w:ascii="Arial" w:hAnsi="Arial" w:cs="Arial"/>
              </w:rPr>
              <w:t>is captured and shared internally across ‘editorial’ staff in the Foundation</w:t>
            </w:r>
            <w:proofErr w:type="gramEnd"/>
            <w:r>
              <w:rPr>
                <w:rFonts w:ascii="Arial" w:hAnsi="Arial" w:cs="Arial"/>
              </w:rPr>
              <w:t>.</w:t>
            </w:r>
          </w:p>
          <w:p w14:paraId="6BB92D54" w14:textId="77777777" w:rsidR="00E958E5" w:rsidRPr="00B37A8D" w:rsidRDefault="00E958E5" w:rsidP="00E958E5">
            <w:pPr>
              <w:numPr>
                <w:ilvl w:val="0"/>
                <w:numId w:val="8"/>
              </w:numPr>
              <w:spacing w:before="120" w:after="120" w:line="240" w:lineRule="auto"/>
              <w:rPr>
                <w:rFonts w:ascii="Arial" w:hAnsi="Arial" w:cs="Arial"/>
              </w:rPr>
            </w:pPr>
            <w:r>
              <w:rPr>
                <w:rFonts w:ascii="Arial" w:hAnsi="Arial" w:cs="Arial"/>
              </w:rPr>
              <w:t xml:space="preserve">Work with the Communication and Engagement team to maintain and manage segmented stakeholder lists in each priority area of interest for the Directorate. </w:t>
            </w:r>
          </w:p>
          <w:p w14:paraId="3A0CEA2D" w14:textId="77777777" w:rsidR="00E958E5" w:rsidRDefault="00E958E5" w:rsidP="00E958E5">
            <w:pPr>
              <w:numPr>
                <w:ilvl w:val="0"/>
                <w:numId w:val="8"/>
              </w:numPr>
              <w:spacing w:before="120" w:after="120" w:line="240" w:lineRule="auto"/>
              <w:rPr>
                <w:rFonts w:ascii="Arial" w:hAnsi="Arial" w:cs="Arial"/>
              </w:rPr>
            </w:pPr>
            <w:r>
              <w:rPr>
                <w:rFonts w:ascii="Arial" w:hAnsi="Arial" w:cs="Arial"/>
              </w:rPr>
              <w:t xml:space="preserve">Work with the Director in the development and implementation of improved systems for monitoring the impact of individual projects and programmes of work. </w:t>
            </w:r>
          </w:p>
          <w:p w14:paraId="1C80812A" w14:textId="77777777" w:rsidR="00E958E5" w:rsidRDefault="00E958E5" w:rsidP="00E958E5">
            <w:pPr>
              <w:numPr>
                <w:ilvl w:val="0"/>
                <w:numId w:val="8"/>
              </w:numPr>
              <w:spacing w:before="120" w:after="120" w:line="240" w:lineRule="auto"/>
              <w:rPr>
                <w:rFonts w:ascii="Arial" w:hAnsi="Arial" w:cs="Arial"/>
              </w:rPr>
            </w:pPr>
            <w:r>
              <w:rPr>
                <w:rFonts w:ascii="Arial" w:hAnsi="Arial" w:cs="Arial"/>
              </w:rPr>
              <w:t xml:space="preserve">Monitor </w:t>
            </w:r>
            <w:proofErr w:type="gramStart"/>
            <w:r>
              <w:rPr>
                <w:rFonts w:ascii="Arial" w:hAnsi="Arial" w:cs="Arial"/>
              </w:rPr>
              <w:t>policy and research developments</w:t>
            </w:r>
            <w:proofErr w:type="gramEnd"/>
            <w:r>
              <w:rPr>
                <w:rFonts w:ascii="Arial" w:hAnsi="Arial" w:cs="Arial"/>
              </w:rPr>
              <w:t xml:space="preserve"> and identify opportunities for current and past grants/grant-holders to contribute. </w:t>
            </w:r>
          </w:p>
          <w:p w14:paraId="08E7E04F" w14:textId="77777777" w:rsidR="00E958E5" w:rsidRPr="006760D4" w:rsidRDefault="00E958E5" w:rsidP="00E958E5">
            <w:pPr>
              <w:numPr>
                <w:ilvl w:val="0"/>
                <w:numId w:val="8"/>
              </w:numPr>
              <w:spacing w:before="120" w:after="120" w:line="240" w:lineRule="auto"/>
              <w:rPr>
                <w:rFonts w:ascii="Arial" w:hAnsi="Arial" w:cs="Arial"/>
              </w:rPr>
            </w:pPr>
            <w:r>
              <w:rPr>
                <w:rFonts w:ascii="Arial" w:hAnsi="Arial" w:cs="Arial"/>
              </w:rPr>
              <w:t>Support the Director in a</w:t>
            </w:r>
            <w:r w:rsidRPr="005C7A5A">
              <w:rPr>
                <w:rFonts w:ascii="Arial" w:hAnsi="Arial" w:cs="Arial"/>
              </w:rPr>
              <w:t>ctive engage</w:t>
            </w:r>
            <w:r>
              <w:rPr>
                <w:rFonts w:ascii="Arial" w:hAnsi="Arial" w:cs="Arial"/>
              </w:rPr>
              <w:t>ment</w:t>
            </w:r>
            <w:r w:rsidRPr="005C7A5A">
              <w:rPr>
                <w:rFonts w:ascii="Arial" w:hAnsi="Arial" w:cs="Arial"/>
              </w:rPr>
              <w:t xml:space="preserve"> with the </w:t>
            </w:r>
            <w:r>
              <w:rPr>
                <w:rFonts w:ascii="Arial" w:hAnsi="Arial" w:cs="Arial"/>
              </w:rPr>
              <w:t>relevant policy, practitioner and research communities</w:t>
            </w:r>
            <w:r w:rsidRPr="005C7A5A">
              <w:rPr>
                <w:rFonts w:ascii="Arial" w:hAnsi="Arial" w:cs="Arial"/>
              </w:rPr>
              <w:t xml:space="preserve"> to </w:t>
            </w:r>
            <w:proofErr w:type="gramStart"/>
            <w:r>
              <w:rPr>
                <w:rFonts w:ascii="Arial" w:hAnsi="Arial" w:cs="Arial"/>
              </w:rPr>
              <w:t xml:space="preserve">scope and </w:t>
            </w:r>
            <w:r w:rsidRPr="005C7A5A">
              <w:rPr>
                <w:rFonts w:ascii="Arial" w:hAnsi="Arial" w:cs="Arial"/>
              </w:rPr>
              <w:t xml:space="preserve">forge </w:t>
            </w:r>
            <w:r>
              <w:rPr>
                <w:rFonts w:ascii="Arial" w:hAnsi="Arial" w:cs="Arial"/>
              </w:rPr>
              <w:t xml:space="preserve">relevant </w:t>
            </w:r>
            <w:r w:rsidRPr="005C7A5A">
              <w:rPr>
                <w:rFonts w:ascii="Arial" w:hAnsi="Arial" w:cs="Arial"/>
              </w:rPr>
              <w:t xml:space="preserve">partnerships </w:t>
            </w:r>
            <w:r>
              <w:rPr>
                <w:rFonts w:ascii="Arial" w:hAnsi="Arial" w:cs="Arial"/>
              </w:rPr>
              <w:t>and projects</w:t>
            </w:r>
            <w:proofErr w:type="gramEnd"/>
            <w:r>
              <w:rPr>
                <w:rFonts w:ascii="Arial" w:hAnsi="Arial" w:cs="Arial"/>
              </w:rPr>
              <w:t xml:space="preserve"> </w:t>
            </w:r>
            <w:r w:rsidRPr="005C7A5A">
              <w:rPr>
                <w:rFonts w:ascii="Arial" w:hAnsi="Arial" w:cs="Arial"/>
              </w:rPr>
              <w:t xml:space="preserve">and promote Nuffield as a stakeholder in this area. </w:t>
            </w:r>
          </w:p>
          <w:p w14:paraId="4294E514" w14:textId="77777777" w:rsidR="00E958E5" w:rsidRPr="00B37A8D" w:rsidRDefault="00E958E5" w:rsidP="00E958E5">
            <w:pPr>
              <w:numPr>
                <w:ilvl w:val="0"/>
                <w:numId w:val="8"/>
              </w:numPr>
              <w:spacing w:before="120" w:after="120" w:line="240" w:lineRule="auto"/>
              <w:rPr>
                <w:rFonts w:ascii="Arial" w:hAnsi="Arial" w:cs="Arial"/>
              </w:rPr>
            </w:pPr>
            <w:r>
              <w:rPr>
                <w:rFonts w:ascii="Arial" w:hAnsi="Arial" w:cs="Arial"/>
              </w:rPr>
              <w:t>Take the lead for, or represent Nuffield in, policy development or consultation activity and events in our priority areas of interest.</w:t>
            </w:r>
          </w:p>
        </w:tc>
      </w:tr>
      <w:tr w:rsidR="00E958E5" w:rsidRPr="00D958C8" w14:paraId="38DAA8B1" w14:textId="77777777" w:rsidTr="003615B7">
        <w:tc>
          <w:tcPr>
            <w:tcW w:w="10343" w:type="dxa"/>
            <w:gridSpan w:val="6"/>
            <w:shd w:val="clear" w:color="auto" w:fill="D9D9D9"/>
          </w:tcPr>
          <w:p w14:paraId="5B8282A4" w14:textId="77777777" w:rsidR="00E958E5" w:rsidRPr="005C7A5A" w:rsidRDefault="00E958E5" w:rsidP="00E958E5">
            <w:pPr>
              <w:spacing w:before="120" w:after="120"/>
              <w:rPr>
                <w:rFonts w:ascii="Arial" w:hAnsi="Arial" w:cs="Arial"/>
                <w:b/>
              </w:rPr>
            </w:pPr>
            <w:r>
              <w:rPr>
                <w:rFonts w:ascii="Arial" w:hAnsi="Arial" w:cs="Arial"/>
                <w:b/>
              </w:rPr>
              <w:t>4</w:t>
            </w:r>
            <w:r w:rsidRPr="005C7A5A">
              <w:rPr>
                <w:rFonts w:ascii="Arial" w:hAnsi="Arial" w:cs="Arial"/>
                <w:b/>
              </w:rPr>
              <w:t xml:space="preserve">. </w:t>
            </w:r>
            <w:r>
              <w:rPr>
                <w:rFonts w:ascii="Arial" w:hAnsi="Arial" w:cs="Arial"/>
                <w:b/>
              </w:rPr>
              <w:t>Plan and manage resources</w:t>
            </w:r>
          </w:p>
        </w:tc>
      </w:tr>
      <w:tr w:rsidR="00E958E5" w:rsidRPr="00D958C8" w14:paraId="573FF879" w14:textId="77777777" w:rsidTr="003615B7">
        <w:tc>
          <w:tcPr>
            <w:tcW w:w="985" w:type="dxa"/>
            <w:shd w:val="clear" w:color="auto" w:fill="auto"/>
          </w:tcPr>
          <w:p w14:paraId="37866358" w14:textId="77777777" w:rsidR="00E958E5" w:rsidRPr="005C7A5A" w:rsidRDefault="00E958E5" w:rsidP="00E958E5">
            <w:pPr>
              <w:spacing w:before="120" w:after="120"/>
              <w:ind w:left="360"/>
              <w:jc w:val="right"/>
              <w:rPr>
                <w:rFonts w:ascii="Arial" w:hAnsi="Arial" w:cs="Arial"/>
                <w:i/>
              </w:rPr>
            </w:pPr>
          </w:p>
        </w:tc>
        <w:tc>
          <w:tcPr>
            <w:tcW w:w="9358" w:type="dxa"/>
            <w:gridSpan w:val="5"/>
            <w:shd w:val="clear" w:color="auto" w:fill="auto"/>
          </w:tcPr>
          <w:p w14:paraId="399E0707" w14:textId="77777777" w:rsidR="00E958E5" w:rsidRPr="00B37A8D" w:rsidRDefault="00E958E5" w:rsidP="00E958E5">
            <w:pPr>
              <w:numPr>
                <w:ilvl w:val="0"/>
                <w:numId w:val="8"/>
              </w:numPr>
              <w:spacing w:before="120" w:after="120" w:line="240" w:lineRule="auto"/>
              <w:rPr>
                <w:rFonts w:ascii="Arial" w:hAnsi="Arial" w:cs="Arial"/>
              </w:rPr>
            </w:pPr>
            <w:r>
              <w:rPr>
                <w:rFonts w:ascii="Arial" w:hAnsi="Arial" w:cs="Arial"/>
              </w:rPr>
              <w:t xml:space="preserve">Manage the grants administration process and ensure clear processes and communication are in place. </w:t>
            </w:r>
          </w:p>
          <w:p w14:paraId="7E806C22" w14:textId="77777777" w:rsidR="00E958E5" w:rsidRDefault="00E958E5" w:rsidP="00E958E5">
            <w:pPr>
              <w:numPr>
                <w:ilvl w:val="0"/>
                <w:numId w:val="8"/>
              </w:numPr>
              <w:spacing w:before="120" w:after="120" w:line="240" w:lineRule="auto"/>
              <w:rPr>
                <w:rFonts w:ascii="Arial" w:hAnsi="Arial" w:cs="Arial"/>
              </w:rPr>
            </w:pPr>
            <w:r>
              <w:rPr>
                <w:rFonts w:ascii="Arial" w:hAnsi="Arial" w:cs="Arial"/>
              </w:rPr>
              <w:t xml:space="preserve">With the other directorate Programme Head, set clear objectives, manage, support and develop the grants administrator in their work on grants management, ensuring they are able to achieve high levels of performance. </w:t>
            </w:r>
          </w:p>
          <w:p w14:paraId="1FC15754" w14:textId="77777777" w:rsidR="00E958E5" w:rsidRPr="008A360F" w:rsidRDefault="00E958E5" w:rsidP="00E958E5">
            <w:pPr>
              <w:numPr>
                <w:ilvl w:val="0"/>
                <w:numId w:val="8"/>
              </w:numPr>
              <w:spacing w:before="120" w:after="120" w:line="240" w:lineRule="auto"/>
              <w:rPr>
                <w:rFonts w:ascii="Arial" w:hAnsi="Arial" w:cs="Arial"/>
              </w:rPr>
            </w:pPr>
            <w:r>
              <w:rPr>
                <w:rFonts w:ascii="Arial" w:hAnsi="Arial" w:cs="Arial"/>
              </w:rPr>
              <w:t xml:space="preserve">Manage and monitor the allocated part of the grants budget for the Directorate, ensuring that grant holders work in accordance with our terms and conditions.  </w:t>
            </w:r>
          </w:p>
        </w:tc>
      </w:tr>
      <w:tr w:rsidR="00E958E5" w:rsidRPr="00D958C8" w14:paraId="521469E0" w14:textId="77777777" w:rsidTr="003615B7">
        <w:tc>
          <w:tcPr>
            <w:tcW w:w="10343" w:type="dxa"/>
            <w:gridSpan w:val="6"/>
            <w:shd w:val="clear" w:color="auto" w:fill="D9D9D9"/>
          </w:tcPr>
          <w:p w14:paraId="4C2C1452" w14:textId="77777777" w:rsidR="00E958E5" w:rsidRPr="005C7A5A" w:rsidRDefault="00E958E5" w:rsidP="00E958E5">
            <w:pPr>
              <w:spacing w:before="120" w:after="120"/>
              <w:rPr>
                <w:rFonts w:ascii="Arial" w:hAnsi="Arial" w:cs="Arial"/>
                <w:b/>
              </w:rPr>
            </w:pPr>
            <w:r>
              <w:rPr>
                <w:rFonts w:ascii="Arial" w:hAnsi="Arial" w:cs="Arial"/>
                <w:b/>
              </w:rPr>
              <w:t>5</w:t>
            </w:r>
            <w:r w:rsidRPr="005C7A5A">
              <w:rPr>
                <w:rFonts w:ascii="Arial" w:hAnsi="Arial" w:cs="Arial"/>
                <w:b/>
              </w:rPr>
              <w:t>. Other</w:t>
            </w:r>
          </w:p>
        </w:tc>
      </w:tr>
      <w:tr w:rsidR="00E958E5" w:rsidRPr="00D958C8" w14:paraId="5BD86369" w14:textId="77777777" w:rsidTr="003615B7">
        <w:tc>
          <w:tcPr>
            <w:tcW w:w="985" w:type="dxa"/>
            <w:shd w:val="clear" w:color="auto" w:fill="auto"/>
          </w:tcPr>
          <w:p w14:paraId="742E9947" w14:textId="77777777" w:rsidR="00E958E5" w:rsidRPr="005C7A5A" w:rsidRDefault="00E958E5" w:rsidP="00E958E5">
            <w:pPr>
              <w:spacing w:before="120" w:after="120"/>
              <w:ind w:left="360"/>
              <w:jc w:val="right"/>
              <w:rPr>
                <w:rFonts w:ascii="Arial" w:hAnsi="Arial" w:cs="Arial"/>
                <w:i/>
              </w:rPr>
            </w:pPr>
          </w:p>
        </w:tc>
        <w:tc>
          <w:tcPr>
            <w:tcW w:w="9358" w:type="dxa"/>
            <w:gridSpan w:val="5"/>
            <w:shd w:val="clear" w:color="auto" w:fill="auto"/>
          </w:tcPr>
          <w:p w14:paraId="3ABB3001" w14:textId="77777777" w:rsidR="00E958E5" w:rsidRDefault="00E958E5" w:rsidP="00E958E5">
            <w:pPr>
              <w:spacing w:before="120" w:after="120"/>
              <w:rPr>
                <w:rFonts w:ascii="Arial" w:hAnsi="Arial" w:cs="Arial"/>
              </w:rPr>
            </w:pPr>
            <w:r>
              <w:rPr>
                <w:rFonts w:ascii="Arial" w:hAnsi="Arial" w:cs="Arial"/>
              </w:rPr>
              <w:t>Wider support to the Foundation’s grant programmes for example by:</w:t>
            </w:r>
          </w:p>
          <w:p w14:paraId="3A2D6FE7" w14:textId="77777777" w:rsidR="00E958E5" w:rsidRDefault="00E958E5" w:rsidP="00E958E5">
            <w:pPr>
              <w:pStyle w:val="ListParagraph"/>
              <w:numPr>
                <w:ilvl w:val="0"/>
                <w:numId w:val="9"/>
              </w:numPr>
              <w:spacing w:before="120" w:after="120" w:line="240" w:lineRule="auto"/>
              <w:rPr>
                <w:rFonts w:ascii="Arial" w:hAnsi="Arial" w:cs="Arial"/>
              </w:rPr>
            </w:pPr>
            <w:r>
              <w:rPr>
                <w:rFonts w:ascii="Arial" w:hAnsi="Arial" w:cs="Arial"/>
              </w:rPr>
              <w:t>Assisting in development and codification of</w:t>
            </w:r>
            <w:r w:rsidRPr="00C66938">
              <w:rPr>
                <w:rFonts w:ascii="Arial" w:hAnsi="Arial" w:cs="Arial"/>
              </w:rPr>
              <w:t xml:space="preserve"> gra</w:t>
            </w:r>
            <w:r>
              <w:rPr>
                <w:rFonts w:ascii="Arial" w:hAnsi="Arial" w:cs="Arial"/>
              </w:rPr>
              <w:t xml:space="preserve">nt-making policy and procedures, including development and ongoing review of guides for applicants, grant-holders and internal staff. </w:t>
            </w:r>
          </w:p>
          <w:p w14:paraId="7C2ACD14" w14:textId="77777777" w:rsidR="00E958E5" w:rsidRDefault="00E958E5" w:rsidP="00E958E5">
            <w:pPr>
              <w:pStyle w:val="ListParagraph"/>
              <w:numPr>
                <w:ilvl w:val="0"/>
                <w:numId w:val="9"/>
              </w:numPr>
              <w:spacing w:before="120" w:after="120" w:line="240" w:lineRule="auto"/>
              <w:rPr>
                <w:rFonts w:ascii="Arial" w:hAnsi="Arial" w:cs="Arial"/>
              </w:rPr>
            </w:pPr>
            <w:r>
              <w:rPr>
                <w:rFonts w:ascii="Arial" w:hAnsi="Arial" w:cs="Arial"/>
              </w:rPr>
              <w:t>Developing and analysing management information about our grant programmes to monitor and improve our grant making performance</w:t>
            </w:r>
          </w:p>
          <w:p w14:paraId="110A6224" w14:textId="77777777" w:rsidR="00E958E5" w:rsidRDefault="00E958E5" w:rsidP="00E958E5">
            <w:pPr>
              <w:pStyle w:val="ListParagraph"/>
              <w:numPr>
                <w:ilvl w:val="0"/>
                <w:numId w:val="9"/>
              </w:numPr>
              <w:spacing w:before="120" w:after="120" w:line="240" w:lineRule="auto"/>
              <w:rPr>
                <w:rFonts w:ascii="Arial" w:hAnsi="Arial" w:cs="Arial"/>
              </w:rPr>
            </w:pPr>
            <w:r>
              <w:rPr>
                <w:rFonts w:ascii="Arial" w:hAnsi="Arial" w:cs="Arial"/>
              </w:rPr>
              <w:t>Playing a central role in developing evaluation frameworks for Nuffield-funded activity, working collaboratively with colleagues to put these in place.</w:t>
            </w:r>
          </w:p>
          <w:p w14:paraId="5663CBE1" w14:textId="77777777" w:rsidR="00E958E5" w:rsidRPr="00C66938" w:rsidRDefault="00E958E5" w:rsidP="00E958E5">
            <w:pPr>
              <w:pStyle w:val="ListParagraph"/>
              <w:numPr>
                <w:ilvl w:val="0"/>
                <w:numId w:val="9"/>
              </w:numPr>
              <w:spacing w:before="120" w:after="120" w:line="240" w:lineRule="auto"/>
              <w:rPr>
                <w:rFonts w:ascii="Arial" w:hAnsi="Arial" w:cs="Arial"/>
              </w:rPr>
            </w:pPr>
            <w:r w:rsidRPr="005C7A5A">
              <w:rPr>
                <w:rFonts w:ascii="Arial" w:hAnsi="Arial" w:cs="Arial"/>
              </w:rPr>
              <w:lastRenderedPageBreak/>
              <w:t>Provid</w:t>
            </w:r>
            <w:r>
              <w:rPr>
                <w:rFonts w:ascii="Arial" w:hAnsi="Arial" w:cs="Arial"/>
              </w:rPr>
              <w:t>ing</w:t>
            </w:r>
            <w:r w:rsidRPr="005C7A5A">
              <w:rPr>
                <w:rFonts w:ascii="Arial" w:hAnsi="Arial" w:cs="Arial"/>
              </w:rPr>
              <w:t xml:space="preserve"> strategic and operational input to other </w:t>
            </w:r>
            <w:r>
              <w:rPr>
                <w:rFonts w:ascii="Arial" w:hAnsi="Arial" w:cs="Arial"/>
              </w:rPr>
              <w:t>activity</w:t>
            </w:r>
            <w:r w:rsidRPr="005C7A5A">
              <w:rPr>
                <w:rFonts w:ascii="Arial" w:hAnsi="Arial" w:cs="Arial"/>
              </w:rPr>
              <w:t xml:space="preserve"> </w:t>
            </w:r>
            <w:r>
              <w:rPr>
                <w:rFonts w:ascii="Arial" w:hAnsi="Arial" w:cs="Arial"/>
              </w:rPr>
              <w:t>across the Foundation</w:t>
            </w:r>
            <w:r w:rsidRPr="005C7A5A">
              <w:rPr>
                <w:rFonts w:ascii="Arial" w:hAnsi="Arial" w:cs="Arial"/>
              </w:rPr>
              <w:t xml:space="preserve"> </w:t>
            </w:r>
            <w:r>
              <w:rPr>
                <w:rFonts w:ascii="Arial" w:hAnsi="Arial" w:cs="Arial"/>
              </w:rPr>
              <w:t xml:space="preserve">with a research, policy or practice dimension, as required. </w:t>
            </w:r>
          </w:p>
          <w:p w14:paraId="4D91578C" w14:textId="77777777" w:rsidR="00E958E5" w:rsidRPr="005C7A5A" w:rsidRDefault="00E958E5" w:rsidP="00E958E5">
            <w:pPr>
              <w:spacing w:before="120" w:after="120"/>
              <w:rPr>
                <w:rFonts w:ascii="Arial" w:hAnsi="Arial" w:cs="Arial"/>
              </w:rPr>
            </w:pPr>
            <w:r w:rsidRPr="005C7A5A">
              <w:rPr>
                <w:rFonts w:ascii="Arial" w:hAnsi="Arial" w:cs="Arial"/>
              </w:rPr>
              <w:t>The above list of key responsibilities (and associated activities) is not exhaustive.  It may be necessary to carry out other work within the scope of the role, as reasonably requested.</w:t>
            </w:r>
          </w:p>
        </w:tc>
      </w:tr>
      <w:tr w:rsidR="00E958E5" w:rsidRPr="00D958C8" w14:paraId="1B9ECCB4" w14:textId="77777777" w:rsidTr="003615B7">
        <w:tc>
          <w:tcPr>
            <w:tcW w:w="8568" w:type="dxa"/>
            <w:gridSpan w:val="5"/>
            <w:shd w:val="clear" w:color="auto" w:fill="auto"/>
          </w:tcPr>
          <w:p w14:paraId="53E9F510" w14:textId="77777777" w:rsidR="00E958E5" w:rsidRPr="00D958C8" w:rsidRDefault="00E958E5" w:rsidP="00E958E5">
            <w:pPr>
              <w:spacing w:before="240" w:after="120"/>
              <w:rPr>
                <w:rFonts w:ascii="Arial" w:hAnsi="Arial" w:cs="Arial"/>
                <w:b/>
              </w:rPr>
            </w:pPr>
            <w:r w:rsidRPr="00D958C8">
              <w:rPr>
                <w:rFonts w:ascii="Arial" w:hAnsi="Arial" w:cs="Arial"/>
                <w:b/>
              </w:rPr>
              <w:lastRenderedPageBreak/>
              <w:t>Person specification</w:t>
            </w:r>
          </w:p>
        </w:tc>
        <w:tc>
          <w:tcPr>
            <w:tcW w:w="1775" w:type="dxa"/>
          </w:tcPr>
          <w:p w14:paraId="516B4765" w14:textId="1FD5CFBF" w:rsidR="00E958E5" w:rsidRPr="00D958C8" w:rsidRDefault="00E958E5" w:rsidP="00E958E5">
            <w:pPr>
              <w:spacing w:before="120" w:after="120"/>
              <w:rPr>
                <w:rFonts w:ascii="Arial" w:hAnsi="Arial" w:cs="Arial"/>
              </w:rPr>
            </w:pPr>
            <w:r w:rsidRPr="00D958C8">
              <w:rPr>
                <w:rFonts w:ascii="Arial" w:hAnsi="Arial" w:cs="Arial"/>
              </w:rPr>
              <w:t>Essential (E)</w:t>
            </w:r>
            <w:r w:rsidR="00396C99">
              <w:rPr>
                <w:rFonts w:ascii="Arial" w:hAnsi="Arial" w:cs="Arial"/>
              </w:rPr>
              <w:t>, Highly Desirable (HD)</w:t>
            </w:r>
            <w:r w:rsidRPr="00D958C8">
              <w:rPr>
                <w:rFonts w:ascii="Arial" w:hAnsi="Arial" w:cs="Arial"/>
              </w:rPr>
              <w:t xml:space="preserve"> or Desirable (D)</w:t>
            </w:r>
          </w:p>
        </w:tc>
      </w:tr>
      <w:tr w:rsidR="00E958E5" w:rsidRPr="00D958C8" w14:paraId="7E41291B" w14:textId="77777777" w:rsidTr="003615B7">
        <w:tc>
          <w:tcPr>
            <w:tcW w:w="10343" w:type="dxa"/>
            <w:gridSpan w:val="6"/>
            <w:shd w:val="clear" w:color="auto" w:fill="E6E6E6"/>
          </w:tcPr>
          <w:p w14:paraId="361FD528" w14:textId="77777777" w:rsidR="00E958E5" w:rsidRPr="00D958C8" w:rsidRDefault="00E958E5" w:rsidP="00E958E5">
            <w:pPr>
              <w:spacing w:before="120" w:after="120"/>
              <w:rPr>
                <w:rFonts w:ascii="Arial" w:hAnsi="Arial" w:cs="Arial"/>
              </w:rPr>
            </w:pPr>
            <w:r w:rsidRPr="00D958C8">
              <w:rPr>
                <w:rFonts w:ascii="Arial" w:hAnsi="Arial" w:cs="Arial"/>
                <w:b/>
              </w:rPr>
              <w:t>Experience</w:t>
            </w:r>
          </w:p>
        </w:tc>
      </w:tr>
      <w:tr w:rsidR="00E958E5" w:rsidRPr="00D958C8" w14:paraId="3333C860" w14:textId="77777777" w:rsidTr="003615B7">
        <w:tc>
          <w:tcPr>
            <w:tcW w:w="8568" w:type="dxa"/>
            <w:gridSpan w:val="5"/>
            <w:shd w:val="clear" w:color="auto" w:fill="auto"/>
          </w:tcPr>
          <w:p w14:paraId="24D2FF40" w14:textId="77777777" w:rsidR="00E958E5" w:rsidRDefault="00E958E5" w:rsidP="00E958E5">
            <w:pPr>
              <w:spacing w:before="120" w:after="120"/>
              <w:rPr>
                <w:rFonts w:ascii="Arial" w:hAnsi="Arial" w:cs="Arial"/>
              </w:rPr>
            </w:pPr>
            <w:r>
              <w:rPr>
                <w:rFonts w:ascii="Arial" w:hAnsi="Arial" w:cs="Arial"/>
              </w:rPr>
              <w:t xml:space="preserve">Experience of using a range of research methods in the design and development of research projects, with strong understanding of research design. </w:t>
            </w:r>
          </w:p>
          <w:p w14:paraId="4D96F944" w14:textId="288F2BC2" w:rsidR="00E958E5" w:rsidRPr="00D958C8" w:rsidRDefault="00E958E5" w:rsidP="00396C99">
            <w:pPr>
              <w:spacing w:before="120" w:after="120"/>
              <w:rPr>
                <w:rFonts w:ascii="Arial" w:hAnsi="Arial" w:cs="Arial"/>
              </w:rPr>
            </w:pPr>
            <w:r>
              <w:rPr>
                <w:rFonts w:ascii="Arial" w:hAnsi="Arial" w:cs="Arial"/>
              </w:rPr>
              <w:t>Experience of evaluating interventions, and multivariate analysis of administrative or survey data</w:t>
            </w:r>
            <w:r w:rsidR="00396C99">
              <w:rPr>
                <w:rFonts w:ascii="Arial" w:hAnsi="Arial" w:cs="Arial"/>
              </w:rPr>
              <w:t>.</w:t>
            </w:r>
            <w:r>
              <w:rPr>
                <w:rFonts w:ascii="Arial" w:hAnsi="Arial" w:cs="Arial"/>
              </w:rPr>
              <w:t xml:space="preserve"> </w:t>
            </w:r>
          </w:p>
        </w:tc>
        <w:tc>
          <w:tcPr>
            <w:tcW w:w="1775" w:type="dxa"/>
          </w:tcPr>
          <w:p w14:paraId="33E57654" w14:textId="77777777" w:rsidR="00E958E5" w:rsidRDefault="00E958E5" w:rsidP="00E958E5">
            <w:pPr>
              <w:spacing w:before="120" w:after="120"/>
              <w:rPr>
                <w:rFonts w:ascii="Arial" w:hAnsi="Arial" w:cs="Arial"/>
              </w:rPr>
            </w:pPr>
            <w:r w:rsidRPr="00D958C8">
              <w:rPr>
                <w:rFonts w:ascii="Arial" w:hAnsi="Arial" w:cs="Arial"/>
              </w:rPr>
              <w:t>E</w:t>
            </w:r>
          </w:p>
          <w:p w14:paraId="04F93914" w14:textId="77777777" w:rsidR="00E958E5" w:rsidRDefault="00E958E5" w:rsidP="00E958E5">
            <w:pPr>
              <w:spacing w:before="120" w:after="120"/>
              <w:rPr>
                <w:rFonts w:ascii="Arial" w:hAnsi="Arial" w:cs="Arial"/>
              </w:rPr>
            </w:pPr>
          </w:p>
          <w:p w14:paraId="680F6F75" w14:textId="65BCC70F" w:rsidR="00E958E5" w:rsidRPr="00D958C8" w:rsidRDefault="00396C99" w:rsidP="00E958E5">
            <w:pPr>
              <w:spacing w:before="120" w:after="120"/>
              <w:rPr>
                <w:rFonts w:ascii="Arial" w:hAnsi="Arial" w:cs="Arial"/>
              </w:rPr>
            </w:pPr>
            <w:r>
              <w:rPr>
                <w:rFonts w:ascii="Arial" w:hAnsi="Arial" w:cs="Arial"/>
              </w:rPr>
              <w:t>E</w:t>
            </w:r>
          </w:p>
        </w:tc>
      </w:tr>
      <w:tr w:rsidR="00E958E5" w:rsidRPr="00D958C8" w14:paraId="191C19D3" w14:textId="77777777" w:rsidTr="003615B7">
        <w:tc>
          <w:tcPr>
            <w:tcW w:w="8568" w:type="dxa"/>
            <w:gridSpan w:val="5"/>
            <w:shd w:val="clear" w:color="auto" w:fill="auto"/>
          </w:tcPr>
          <w:p w14:paraId="649AE1CA" w14:textId="77777777" w:rsidR="00E958E5" w:rsidRPr="00D958C8" w:rsidRDefault="00E958E5" w:rsidP="00E958E5">
            <w:pPr>
              <w:spacing w:before="120" w:after="120"/>
              <w:rPr>
                <w:rFonts w:ascii="Arial" w:hAnsi="Arial" w:cs="Arial"/>
              </w:rPr>
            </w:pPr>
            <w:r w:rsidRPr="00D958C8">
              <w:rPr>
                <w:rFonts w:ascii="Arial" w:hAnsi="Arial" w:cs="Arial"/>
              </w:rPr>
              <w:t xml:space="preserve">Experience of managing </w:t>
            </w:r>
            <w:r>
              <w:rPr>
                <w:rFonts w:ascii="Arial" w:hAnsi="Arial" w:cs="Arial"/>
              </w:rPr>
              <w:t xml:space="preserve">research or analysis </w:t>
            </w:r>
            <w:r w:rsidRPr="00D958C8">
              <w:rPr>
                <w:rFonts w:ascii="Arial" w:hAnsi="Arial" w:cs="Arial"/>
              </w:rPr>
              <w:t>projects.</w:t>
            </w:r>
          </w:p>
        </w:tc>
        <w:tc>
          <w:tcPr>
            <w:tcW w:w="1775" w:type="dxa"/>
          </w:tcPr>
          <w:p w14:paraId="24D4F733" w14:textId="77777777" w:rsidR="00E958E5" w:rsidRPr="00D958C8" w:rsidRDefault="00E958E5" w:rsidP="00E958E5">
            <w:pPr>
              <w:spacing w:before="120" w:after="120"/>
              <w:rPr>
                <w:rFonts w:ascii="Arial" w:hAnsi="Arial" w:cs="Arial"/>
              </w:rPr>
            </w:pPr>
            <w:r>
              <w:rPr>
                <w:rFonts w:ascii="Arial" w:hAnsi="Arial" w:cs="Arial"/>
              </w:rPr>
              <w:t>E</w:t>
            </w:r>
          </w:p>
        </w:tc>
      </w:tr>
      <w:tr w:rsidR="00E958E5" w:rsidRPr="00D958C8" w14:paraId="2485E513" w14:textId="77777777" w:rsidTr="003615B7">
        <w:tc>
          <w:tcPr>
            <w:tcW w:w="8568" w:type="dxa"/>
            <w:gridSpan w:val="5"/>
            <w:shd w:val="clear" w:color="auto" w:fill="auto"/>
          </w:tcPr>
          <w:p w14:paraId="66177344" w14:textId="77777777" w:rsidR="00E958E5" w:rsidRPr="00D958C8" w:rsidRDefault="00E958E5" w:rsidP="00E958E5">
            <w:pPr>
              <w:spacing w:before="120" w:after="120"/>
              <w:rPr>
                <w:rFonts w:ascii="Arial" w:hAnsi="Arial" w:cs="Arial"/>
              </w:rPr>
            </w:pPr>
            <w:r>
              <w:rPr>
                <w:rFonts w:ascii="Arial" w:hAnsi="Arial" w:cs="Arial"/>
              </w:rPr>
              <w:t>Experience of critically appraising research reports, including formal methods of research synthesis</w:t>
            </w:r>
          </w:p>
        </w:tc>
        <w:tc>
          <w:tcPr>
            <w:tcW w:w="1775" w:type="dxa"/>
          </w:tcPr>
          <w:p w14:paraId="2CADD9B6" w14:textId="77777777" w:rsidR="00E958E5" w:rsidRPr="00D958C8" w:rsidRDefault="00E958E5" w:rsidP="00E958E5">
            <w:pPr>
              <w:spacing w:before="120" w:after="120"/>
              <w:rPr>
                <w:rFonts w:ascii="Arial" w:hAnsi="Arial" w:cs="Arial"/>
              </w:rPr>
            </w:pPr>
            <w:r>
              <w:rPr>
                <w:rFonts w:ascii="Arial" w:hAnsi="Arial" w:cs="Arial"/>
              </w:rPr>
              <w:t>E</w:t>
            </w:r>
          </w:p>
        </w:tc>
      </w:tr>
      <w:tr w:rsidR="00E958E5" w:rsidRPr="00D958C8" w14:paraId="5AE70166" w14:textId="77777777" w:rsidTr="003615B7">
        <w:tc>
          <w:tcPr>
            <w:tcW w:w="8568" w:type="dxa"/>
            <w:gridSpan w:val="5"/>
            <w:shd w:val="clear" w:color="auto" w:fill="auto"/>
          </w:tcPr>
          <w:p w14:paraId="3FB1C818" w14:textId="77777777" w:rsidR="00E958E5" w:rsidRPr="00D958C8" w:rsidRDefault="00E958E5" w:rsidP="00E958E5">
            <w:pPr>
              <w:spacing w:before="120" w:after="120"/>
              <w:rPr>
                <w:rFonts w:ascii="Arial" w:hAnsi="Arial" w:cs="Arial"/>
              </w:rPr>
            </w:pPr>
            <w:r>
              <w:rPr>
                <w:rFonts w:ascii="Arial" w:hAnsi="Arial" w:cs="Arial"/>
              </w:rPr>
              <w:t>Experience of drawing policy and practice implications from research findings</w:t>
            </w:r>
          </w:p>
        </w:tc>
        <w:tc>
          <w:tcPr>
            <w:tcW w:w="1775" w:type="dxa"/>
          </w:tcPr>
          <w:p w14:paraId="2256116B" w14:textId="77777777" w:rsidR="00E958E5" w:rsidRPr="00D958C8" w:rsidRDefault="00E958E5" w:rsidP="00E958E5">
            <w:pPr>
              <w:spacing w:before="120" w:after="120"/>
              <w:rPr>
                <w:rFonts w:ascii="Arial" w:hAnsi="Arial" w:cs="Arial"/>
              </w:rPr>
            </w:pPr>
            <w:r>
              <w:rPr>
                <w:rFonts w:ascii="Arial" w:hAnsi="Arial" w:cs="Arial"/>
              </w:rPr>
              <w:t>E</w:t>
            </w:r>
          </w:p>
        </w:tc>
      </w:tr>
      <w:tr w:rsidR="00E958E5" w:rsidRPr="00D958C8" w14:paraId="2608E394" w14:textId="77777777" w:rsidTr="003615B7">
        <w:tc>
          <w:tcPr>
            <w:tcW w:w="8568" w:type="dxa"/>
            <w:gridSpan w:val="5"/>
            <w:shd w:val="clear" w:color="auto" w:fill="auto"/>
          </w:tcPr>
          <w:p w14:paraId="6B2D837D" w14:textId="77777777" w:rsidR="00E958E5" w:rsidRPr="00D958C8" w:rsidRDefault="00E958E5" w:rsidP="00E958E5">
            <w:pPr>
              <w:spacing w:before="120" w:after="120"/>
              <w:rPr>
                <w:rFonts w:ascii="Arial" w:hAnsi="Arial" w:cs="Arial"/>
                <w:b/>
              </w:rPr>
            </w:pPr>
            <w:r w:rsidRPr="00D958C8">
              <w:rPr>
                <w:rFonts w:ascii="Arial" w:hAnsi="Arial" w:cs="Arial"/>
              </w:rPr>
              <w:t>Experience of managing a budget.</w:t>
            </w:r>
          </w:p>
        </w:tc>
        <w:tc>
          <w:tcPr>
            <w:tcW w:w="1775" w:type="dxa"/>
          </w:tcPr>
          <w:p w14:paraId="4C1A3FA8" w14:textId="77777777" w:rsidR="00E958E5" w:rsidRPr="00D958C8" w:rsidRDefault="00E958E5" w:rsidP="00E958E5">
            <w:pPr>
              <w:spacing w:before="120" w:after="120"/>
              <w:rPr>
                <w:rFonts w:ascii="Arial" w:hAnsi="Arial" w:cs="Arial"/>
              </w:rPr>
            </w:pPr>
            <w:r>
              <w:rPr>
                <w:rFonts w:ascii="Arial" w:hAnsi="Arial" w:cs="Arial"/>
              </w:rPr>
              <w:t>E</w:t>
            </w:r>
          </w:p>
        </w:tc>
      </w:tr>
      <w:tr w:rsidR="00E958E5" w:rsidRPr="00D958C8" w14:paraId="2CD2B3ED" w14:textId="77777777" w:rsidTr="003615B7">
        <w:tc>
          <w:tcPr>
            <w:tcW w:w="8568" w:type="dxa"/>
            <w:gridSpan w:val="5"/>
            <w:shd w:val="clear" w:color="auto" w:fill="auto"/>
          </w:tcPr>
          <w:p w14:paraId="3E0F6C8C" w14:textId="77777777" w:rsidR="00E958E5" w:rsidRPr="00D958C8" w:rsidRDefault="00E958E5" w:rsidP="00E958E5">
            <w:pPr>
              <w:spacing w:before="120" w:after="120"/>
              <w:rPr>
                <w:rFonts w:ascii="Arial" w:hAnsi="Arial" w:cs="Arial"/>
              </w:rPr>
            </w:pPr>
            <w:r>
              <w:rPr>
                <w:rFonts w:ascii="Arial" w:hAnsi="Arial" w:cs="Arial"/>
              </w:rPr>
              <w:t>Experience of writing or editing and publishing research-based outputs</w:t>
            </w:r>
          </w:p>
        </w:tc>
        <w:tc>
          <w:tcPr>
            <w:tcW w:w="1775" w:type="dxa"/>
          </w:tcPr>
          <w:p w14:paraId="70C41125" w14:textId="77777777" w:rsidR="00E958E5" w:rsidRPr="00D958C8" w:rsidRDefault="00E958E5" w:rsidP="00E958E5">
            <w:pPr>
              <w:spacing w:before="120" w:after="120"/>
              <w:rPr>
                <w:rFonts w:ascii="Arial" w:hAnsi="Arial" w:cs="Arial"/>
              </w:rPr>
            </w:pPr>
            <w:r>
              <w:rPr>
                <w:rFonts w:ascii="Arial" w:hAnsi="Arial" w:cs="Arial"/>
              </w:rPr>
              <w:t>E</w:t>
            </w:r>
          </w:p>
        </w:tc>
      </w:tr>
      <w:tr w:rsidR="00E958E5" w:rsidRPr="00D958C8" w14:paraId="72C3020C" w14:textId="77777777" w:rsidTr="003615B7">
        <w:tc>
          <w:tcPr>
            <w:tcW w:w="8568" w:type="dxa"/>
            <w:gridSpan w:val="5"/>
            <w:shd w:val="clear" w:color="auto" w:fill="auto"/>
          </w:tcPr>
          <w:p w14:paraId="2A4D4BC3" w14:textId="77777777" w:rsidR="00E958E5" w:rsidRPr="00D958C8" w:rsidRDefault="00E958E5" w:rsidP="00E958E5">
            <w:pPr>
              <w:spacing w:before="120" w:after="120"/>
              <w:rPr>
                <w:rFonts w:ascii="Arial" w:hAnsi="Arial" w:cs="Arial"/>
              </w:rPr>
            </w:pPr>
            <w:r>
              <w:rPr>
                <w:rFonts w:ascii="Arial" w:hAnsi="Arial" w:cs="Arial"/>
              </w:rPr>
              <w:t xml:space="preserve">Experience of managing </w:t>
            </w:r>
            <w:r w:rsidRPr="00D958C8">
              <w:rPr>
                <w:rFonts w:ascii="Arial" w:hAnsi="Arial" w:cs="Arial"/>
              </w:rPr>
              <w:t>people.</w:t>
            </w:r>
          </w:p>
        </w:tc>
        <w:tc>
          <w:tcPr>
            <w:tcW w:w="1775" w:type="dxa"/>
          </w:tcPr>
          <w:p w14:paraId="7260484F" w14:textId="77777777" w:rsidR="00E958E5" w:rsidRPr="00D958C8" w:rsidRDefault="00E958E5" w:rsidP="00E958E5">
            <w:pPr>
              <w:spacing w:before="120" w:after="120"/>
              <w:rPr>
                <w:rFonts w:ascii="Arial" w:hAnsi="Arial" w:cs="Arial"/>
              </w:rPr>
            </w:pPr>
            <w:r>
              <w:rPr>
                <w:rFonts w:ascii="Arial" w:hAnsi="Arial" w:cs="Arial"/>
              </w:rPr>
              <w:t>D</w:t>
            </w:r>
          </w:p>
        </w:tc>
      </w:tr>
      <w:tr w:rsidR="00E958E5" w:rsidRPr="00D958C8" w14:paraId="30087A9A" w14:textId="77777777" w:rsidTr="003615B7">
        <w:tc>
          <w:tcPr>
            <w:tcW w:w="10343" w:type="dxa"/>
            <w:gridSpan w:val="6"/>
            <w:shd w:val="clear" w:color="auto" w:fill="E6E6E6"/>
          </w:tcPr>
          <w:p w14:paraId="3E32703C" w14:textId="77777777" w:rsidR="00E958E5" w:rsidRPr="00D958C8" w:rsidRDefault="00E958E5" w:rsidP="00E958E5">
            <w:pPr>
              <w:spacing w:before="120" w:after="120"/>
              <w:rPr>
                <w:rFonts w:ascii="Arial" w:hAnsi="Arial" w:cs="Arial"/>
              </w:rPr>
            </w:pPr>
            <w:r w:rsidRPr="00D958C8">
              <w:rPr>
                <w:rFonts w:ascii="Arial" w:hAnsi="Arial" w:cs="Arial"/>
                <w:b/>
              </w:rPr>
              <w:t>Knowledge and Skills</w:t>
            </w:r>
          </w:p>
        </w:tc>
      </w:tr>
      <w:tr w:rsidR="00E958E5" w:rsidRPr="00D958C8" w14:paraId="21C9B681" w14:textId="77777777" w:rsidTr="003615B7">
        <w:tc>
          <w:tcPr>
            <w:tcW w:w="8568" w:type="dxa"/>
            <w:gridSpan w:val="5"/>
            <w:shd w:val="clear" w:color="auto" w:fill="auto"/>
          </w:tcPr>
          <w:p w14:paraId="50542064" w14:textId="77777777" w:rsidR="00E958E5" w:rsidRPr="00D958C8" w:rsidRDefault="00E958E5" w:rsidP="00E958E5">
            <w:pPr>
              <w:pStyle w:val="CommentText"/>
              <w:rPr>
                <w:rFonts w:ascii="Arial" w:hAnsi="Arial" w:cs="Arial"/>
                <w:sz w:val="22"/>
                <w:szCs w:val="22"/>
              </w:rPr>
            </w:pPr>
            <w:r w:rsidRPr="00D958C8">
              <w:rPr>
                <w:rFonts w:ascii="Arial" w:hAnsi="Arial" w:cs="Arial"/>
                <w:sz w:val="22"/>
                <w:szCs w:val="22"/>
              </w:rPr>
              <w:t>A goo</w:t>
            </w:r>
            <w:r>
              <w:rPr>
                <w:rFonts w:ascii="Arial" w:hAnsi="Arial" w:cs="Arial"/>
                <w:sz w:val="22"/>
                <w:szCs w:val="22"/>
              </w:rPr>
              <w:t>d degree in a social science subject with strong formal quantitative training</w:t>
            </w:r>
            <w:r w:rsidRPr="00D958C8">
              <w:rPr>
                <w:rFonts w:ascii="Arial" w:hAnsi="Arial" w:cs="Arial"/>
                <w:sz w:val="22"/>
                <w:szCs w:val="22"/>
              </w:rPr>
              <w:t>.</w:t>
            </w:r>
            <w:r>
              <w:rPr>
                <w:rFonts w:ascii="Arial" w:hAnsi="Arial" w:cs="Arial"/>
                <w:sz w:val="22"/>
                <w:szCs w:val="22"/>
              </w:rPr>
              <w:t xml:space="preserve">  </w:t>
            </w:r>
          </w:p>
        </w:tc>
        <w:tc>
          <w:tcPr>
            <w:tcW w:w="1775" w:type="dxa"/>
          </w:tcPr>
          <w:p w14:paraId="466B69E1" w14:textId="77777777" w:rsidR="00E958E5" w:rsidRPr="00D958C8" w:rsidRDefault="00E958E5" w:rsidP="00E958E5">
            <w:pPr>
              <w:spacing w:before="120" w:after="120"/>
              <w:rPr>
                <w:rFonts w:ascii="Arial" w:hAnsi="Arial" w:cs="Arial"/>
              </w:rPr>
            </w:pPr>
            <w:r w:rsidRPr="00D958C8">
              <w:rPr>
                <w:rFonts w:ascii="Arial" w:hAnsi="Arial" w:cs="Arial"/>
              </w:rPr>
              <w:t>E</w:t>
            </w:r>
          </w:p>
        </w:tc>
      </w:tr>
      <w:tr w:rsidR="00E958E5" w:rsidRPr="00D958C8" w14:paraId="7E711C49" w14:textId="77777777" w:rsidTr="003615B7">
        <w:tc>
          <w:tcPr>
            <w:tcW w:w="8568" w:type="dxa"/>
            <w:gridSpan w:val="5"/>
            <w:shd w:val="clear" w:color="auto" w:fill="auto"/>
          </w:tcPr>
          <w:p w14:paraId="526B3D91" w14:textId="77777777" w:rsidR="00E958E5" w:rsidRPr="00D958C8" w:rsidRDefault="00E958E5" w:rsidP="00E958E5">
            <w:pPr>
              <w:spacing w:before="120" w:after="120"/>
              <w:rPr>
                <w:rFonts w:ascii="Arial" w:hAnsi="Arial" w:cs="Arial"/>
              </w:rPr>
            </w:pPr>
            <w:r>
              <w:rPr>
                <w:rFonts w:ascii="Arial" w:hAnsi="Arial" w:cs="Arial"/>
              </w:rPr>
              <w:t>Post-graduate qualification in a social science subject with strong research methods component</w:t>
            </w:r>
          </w:p>
        </w:tc>
        <w:tc>
          <w:tcPr>
            <w:tcW w:w="1775" w:type="dxa"/>
            <w:shd w:val="clear" w:color="auto" w:fill="auto"/>
          </w:tcPr>
          <w:p w14:paraId="7725C12F" w14:textId="5B886A3A" w:rsidR="00E958E5" w:rsidRPr="00D958C8" w:rsidRDefault="00396C99" w:rsidP="00E958E5">
            <w:pPr>
              <w:spacing w:before="120" w:after="120"/>
              <w:rPr>
                <w:rFonts w:ascii="Arial" w:hAnsi="Arial" w:cs="Arial"/>
              </w:rPr>
            </w:pPr>
            <w:r>
              <w:rPr>
                <w:rFonts w:ascii="Arial" w:hAnsi="Arial" w:cs="Arial"/>
              </w:rPr>
              <w:t>HD</w:t>
            </w:r>
          </w:p>
        </w:tc>
      </w:tr>
      <w:tr w:rsidR="00E958E5" w:rsidRPr="00D958C8" w14:paraId="0356E0B9" w14:textId="77777777" w:rsidTr="003615B7">
        <w:tc>
          <w:tcPr>
            <w:tcW w:w="8568" w:type="dxa"/>
            <w:gridSpan w:val="5"/>
            <w:shd w:val="clear" w:color="auto" w:fill="auto"/>
          </w:tcPr>
          <w:p w14:paraId="5457123B" w14:textId="77777777" w:rsidR="00E958E5" w:rsidRPr="00A620BF" w:rsidRDefault="00E958E5" w:rsidP="00E958E5">
            <w:pPr>
              <w:pStyle w:val="CommentText"/>
              <w:rPr>
                <w:rFonts w:ascii="Arial" w:hAnsi="Arial" w:cs="Arial"/>
                <w:sz w:val="22"/>
                <w:szCs w:val="22"/>
              </w:rPr>
            </w:pPr>
            <w:r w:rsidRPr="00A620BF">
              <w:rPr>
                <w:rFonts w:ascii="Arial" w:hAnsi="Arial" w:cs="Arial"/>
                <w:sz w:val="22"/>
                <w:szCs w:val="22"/>
              </w:rPr>
              <w:t xml:space="preserve">Strong analytic skills, including not only </w:t>
            </w:r>
            <w:proofErr w:type="gramStart"/>
            <w:r w:rsidRPr="00A620BF">
              <w:rPr>
                <w:rFonts w:ascii="Arial" w:hAnsi="Arial" w:cs="Arial"/>
                <w:sz w:val="22"/>
                <w:szCs w:val="22"/>
              </w:rPr>
              <w:t>understanding research design strengths</w:t>
            </w:r>
            <w:proofErr w:type="gramEnd"/>
            <w:r w:rsidRPr="00A620BF">
              <w:rPr>
                <w:rFonts w:ascii="Arial" w:hAnsi="Arial" w:cs="Arial"/>
                <w:sz w:val="22"/>
                <w:szCs w:val="22"/>
              </w:rPr>
              <w:t xml:space="preserve"> and weaknesses but also analytic use of evidence in framing a debate, and developing or assessing policy options. </w:t>
            </w:r>
          </w:p>
          <w:p w14:paraId="2B634910" w14:textId="77777777" w:rsidR="00E958E5" w:rsidRPr="00A620BF" w:rsidRDefault="00E958E5" w:rsidP="00E958E5">
            <w:pPr>
              <w:spacing w:before="120" w:after="120"/>
              <w:rPr>
                <w:rFonts w:ascii="Arial" w:hAnsi="Arial" w:cs="Arial"/>
              </w:rPr>
            </w:pPr>
          </w:p>
        </w:tc>
        <w:tc>
          <w:tcPr>
            <w:tcW w:w="1775" w:type="dxa"/>
            <w:shd w:val="clear" w:color="auto" w:fill="auto"/>
          </w:tcPr>
          <w:p w14:paraId="1AF6A64F" w14:textId="77777777" w:rsidR="00E958E5" w:rsidRDefault="00E958E5" w:rsidP="00E958E5">
            <w:pPr>
              <w:spacing w:before="120" w:after="120"/>
              <w:rPr>
                <w:rFonts w:ascii="Arial" w:hAnsi="Arial" w:cs="Arial"/>
              </w:rPr>
            </w:pPr>
            <w:r>
              <w:rPr>
                <w:rFonts w:ascii="Arial" w:hAnsi="Arial" w:cs="Arial"/>
              </w:rPr>
              <w:t>E</w:t>
            </w:r>
          </w:p>
        </w:tc>
      </w:tr>
      <w:tr w:rsidR="00E958E5" w:rsidRPr="00D958C8" w14:paraId="39D5F4EA" w14:textId="77777777" w:rsidTr="003615B7">
        <w:tc>
          <w:tcPr>
            <w:tcW w:w="8568" w:type="dxa"/>
            <w:gridSpan w:val="5"/>
            <w:shd w:val="clear" w:color="auto" w:fill="auto"/>
          </w:tcPr>
          <w:p w14:paraId="36F7B947" w14:textId="77777777" w:rsidR="00E958E5" w:rsidRDefault="00E958E5" w:rsidP="00E958E5">
            <w:pPr>
              <w:spacing w:before="120" w:after="120"/>
              <w:rPr>
                <w:rFonts w:ascii="Arial" w:hAnsi="Arial" w:cs="Arial"/>
              </w:rPr>
            </w:pPr>
            <w:r>
              <w:rPr>
                <w:rFonts w:ascii="Arial" w:hAnsi="Arial" w:cs="Arial"/>
              </w:rPr>
              <w:t>Knowledge of one or more of the following substantive research and policy areas, coupled with a breadth of interest across the programme area:</w:t>
            </w:r>
          </w:p>
          <w:p w14:paraId="588BA8BE" w14:textId="77777777" w:rsidR="00E958E5" w:rsidRDefault="00E958E5" w:rsidP="00E958E5">
            <w:pPr>
              <w:pStyle w:val="ListParagraph"/>
              <w:numPr>
                <w:ilvl w:val="0"/>
                <w:numId w:val="10"/>
              </w:numPr>
              <w:spacing w:before="120" w:after="120" w:line="240" w:lineRule="auto"/>
              <w:rPr>
                <w:rFonts w:ascii="Arial" w:hAnsi="Arial" w:cs="Arial"/>
              </w:rPr>
            </w:pPr>
            <w:r>
              <w:rPr>
                <w:rFonts w:ascii="Arial" w:hAnsi="Arial" w:cs="Arial"/>
              </w:rPr>
              <w:t>Education and training policy and practice</w:t>
            </w:r>
          </w:p>
          <w:p w14:paraId="00D55399" w14:textId="77777777" w:rsidR="00E958E5" w:rsidRDefault="00E958E5" w:rsidP="00E958E5">
            <w:pPr>
              <w:pStyle w:val="ListParagraph"/>
              <w:numPr>
                <w:ilvl w:val="0"/>
                <w:numId w:val="10"/>
              </w:numPr>
              <w:spacing w:before="120" w:after="120" w:line="240" w:lineRule="auto"/>
              <w:rPr>
                <w:rFonts w:ascii="Arial" w:hAnsi="Arial" w:cs="Arial"/>
              </w:rPr>
            </w:pPr>
            <w:r>
              <w:rPr>
                <w:rFonts w:ascii="Arial" w:hAnsi="Arial" w:cs="Arial"/>
              </w:rPr>
              <w:t>Early years education and care</w:t>
            </w:r>
          </w:p>
          <w:p w14:paraId="12F4CE81" w14:textId="77777777" w:rsidR="00E958E5" w:rsidRPr="00A81977" w:rsidRDefault="00E958E5" w:rsidP="00E958E5">
            <w:pPr>
              <w:pStyle w:val="ListParagraph"/>
              <w:numPr>
                <w:ilvl w:val="0"/>
                <w:numId w:val="10"/>
              </w:numPr>
              <w:spacing w:before="120" w:after="120" w:line="240" w:lineRule="auto"/>
              <w:rPr>
                <w:rFonts w:ascii="Arial" w:hAnsi="Arial" w:cs="Arial"/>
              </w:rPr>
            </w:pPr>
            <w:r>
              <w:rPr>
                <w:rFonts w:ascii="Arial" w:hAnsi="Arial" w:cs="Arial"/>
              </w:rPr>
              <w:t>Child development</w:t>
            </w:r>
          </w:p>
          <w:p w14:paraId="54A2EE00" w14:textId="77777777" w:rsidR="00E958E5" w:rsidRDefault="00E958E5" w:rsidP="00E958E5">
            <w:pPr>
              <w:pStyle w:val="ListParagraph"/>
              <w:numPr>
                <w:ilvl w:val="0"/>
                <w:numId w:val="10"/>
              </w:numPr>
              <w:spacing w:before="120" w:after="120" w:line="240" w:lineRule="auto"/>
              <w:rPr>
                <w:rFonts w:ascii="Arial" w:hAnsi="Arial" w:cs="Arial"/>
              </w:rPr>
            </w:pPr>
            <w:r>
              <w:rPr>
                <w:rFonts w:ascii="Arial" w:hAnsi="Arial" w:cs="Arial"/>
              </w:rPr>
              <w:t>Adolescence</w:t>
            </w:r>
          </w:p>
          <w:p w14:paraId="099151C1" w14:textId="77777777" w:rsidR="00E958E5" w:rsidRDefault="00E958E5" w:rsidP="00E958E5">
            <w:pPr>
              <w:pStyle w:val="ListParagraph"/>
              <w:numPr>
                <w:ilvl w:val="0"/>
                <w:numId w:val="10"/>
              </w:numPr>
              <w:spacing w:before="120" w:after="120" w:line="240" w:lineRule="auto"/>
              <w:rPr>
                <w:rFonts w:ascii="Arial" w:hAnsi="Arial" w:cs="Arial"/>
              </w:rPr>
            </w:pPr>
            <w:r>
              <w:rPr>
                <w:rFonts w:ascii="Arial" w:hAnsi="Arial" w:cs="Arial"/>
              </w:rPr>
              <w:t>Family policy</w:t>
            </w:r>
          </w:p>
          <w:p w14:paraId="26FA0985" w14:textId="77777777" w:rsidR="00E958E5" w:rsidRPr="00244B34" w:rsidRDefault="00E958E5" w:rsidP="00E958E5">
            <w:pPr>
              <w:pStyle w:val="ListParagraph"/>
              <w:spacing w:before="120" w:after="120"/>
              <w:rPr>
                <w:rFonts w:ascii="Arial" w:hAnsi="Arial" w:cs="Arial"/>
              </w:rPr>
            </w:pPr>
          </w:p>
        </w:tc>
        <w:tc>
          <w:tcPr>
            <w:tcW w:w="1775" w:type="dxa"/>
          </w:tcPr>
          <w:p w14:paraId="614BF3D4" w14:textId="77777777" w:rsidR="00E958E5" w:rsidRPr="00D958C8" w:rsidRDefault="00E958E5" w:rsidP="00E958E5">
            <w:pPr>
              <w:spacing w:before="120" w:after="120"/>
              <w:rPr>
                <w:rFonts w:ascii="Arial" w:hAnsi="Arial" w:cs="Arial"/>
              </w:rPr>
            </w:pPr>
            <w:r w:rsidRPr="00D958C8">
              <w:rPr>
                <w:rFonts w:ascii="Arial" w:hAnsi="Arial" w:cs="Arial"/>
              </w:rPr>
              <w:t>E</w:t>
            </w:r>
          </w:p>
        </w:tc>
      </w:tr>
      <w:tr w:rsidR="00E958E5" w:rsidRPr="00D958C8" w14:paraId="6159C9A2" w14:textId="77777777" w:rsidTr="003615B7">
        <w:tc>
          <w:tcPr>
            <w:tcW w:w="8568" w:type="dxa"/>
            <w:gridSpan w:val="5"/>
            <w:shd w:val="clear" w:color="auto" w:fill="auto"/>
          </w:tcPr>
          <w:p w14:paraId="60219A3C" w14:textId="77777777" w:rsidR="00E958E5" w:rsidRPr="00D958C8" w:rsidRDefault="00E958E5" w:rsidP="00E958E5">
            <w:pPr>
              <w:spacing w:before="120" w:after="120"/>
              <w:rPr>
                <w:rFonts w:ascii="Arial" w:hAnsi="Arial" w:cs="Arial"/>
              </w:rPr>
            </w:pPr>
            <w:r w:rsidRPr="00D958C8">
              <w:rPr>
                <w:rFonts w:ascii="Arial" w:hAnsi="Arial" w:cs="Arial"/>
              </w:rPr>
              <w:t xml:space="preserve">Excellent oral and writing </w:t>
            </w:r>
            <w:proofErr w:type="gramStart"/>
            <w:r w:rsidRPr="00D958C8">
              <w:rPr>
                <w:rFonts w:ascii="Arial" w:hAnsi="Arial" w:cs="Arial"/>
              </w:rPr>
              <w:t>skills,</w:t>
            </w:r>
            <w:proofErr w:type="gramEnd"/>
            <w:r w:rsidRPr="00D958C8">
              <w:rPr>
                <w:rFonts w:ascii="Arial" w:hAnsi="Arial" w:cs="Arial"/>
              </w:rPr>
              <w:t xml:space="preserve"> and ability to write clearly and accurately for </w:t>
            </w:r>
            <w:r>
              <w:rPr>
                <w:rFonts w:ascii="Arial" w:hAnsi="Arial" w:cs="Arial"/>
              </w:rPr>
              <w:t xml:space="preserve">different </w:t>
            </w:r>
            <w:r w:rsidRPr="00D958C8">
              <w:rPr>
                <w:rFonts w:ascii="Arial" w:hAnsi="Arial" w:cs="Arial"/>
              </w:rPr>
              <w:t>audience</w:t>
            </w:r>
            <w:r>
              <w:rPr>
                <w:rFonts w:ascii="Arial" w:hAnsi="Arial" w:cs="Arial"/>
              </w:rPr>
              <w:t>s</w:t>
            </w:r>
            <w:r w:rsidRPr="00D958C8">
              <w:rPr>
                <w:rFonts w:ascii="Arial" w:hAnsi="Arial" w:cs="Arial"/>
              </w:rPr>
              <w:t>.</w:t>
            </w:r>
          </w:p>
        </w:tc>
        <w:tc>
          <w:tcPr>
            <w:tcW w:w="1775" w:type="dxa"/>
          </w:tcPr>
          <w:p w14:paraId="0426D8DA" w14:textId="77777777" w:rsidR="00E958E5" w:rsidRPr="00D958C8" w:rsidRDefault="00E958E5" w:rsidP="00E958E5">
            <w:pPr>
              <w:spacing w:before="120" w:after="120"/>
              <w:rPr>
                <w:rFonts w:ascii="Arial" w:hAnsi="Arial" w:cs="Arial"/>
              </w:rPr>
            </w:pPr>
            <w:r w:rsidRPr="00D958C8">
              <w:rPr>
                <w:rFonts w:ascii="Arial" w:hAnsi="Arial" w:cs="Arial"/>
              </w:rPr>
              <w:t>E</w:t>
            </w:r>
          </w:p>
        </w:tc>
      </w:tr>
      <w:tr w:rsidR="00E958E5" w:rsidRPr="00D958C8" w14:paraId="2B531CF2" w14:textId="77777777" w:rsidTr="003615B7">
        <w:tc>
          <w:tcPr>
            <w:tcW w:w="10343" w:type="dxa"/>
            <w:gridSpan w:val="6"/>
            <w:shd w:val="clear" w:color="auto" w:fill="auto"/>
          </w:tcPr>
          <w:p w14:paraId="4C992CA9" w14:textId="77777777" w:rsidR="00E958E5" w:rsidRPr="00D958C8" w:rsidRDefault="00E958E5" w:rsidP="00E958E5">
            <w:pPr>
              <w:spacing w:before="120" w:after="120"/>
              <w:rPr>
                <w:rFonts w:ascii="Arial" w:hAnsi="Arial" w:cs="Arial"/>
              </w:rPr>
            </w:pPr>
          </w:p>
        </w:tc>
      </w:tr>
      <w:tr w:rsidR="00E958E5" w:rsidRPr="00D958C8" w14:paraId="0A3962EB" w14:textId="77777777" w:rsidTr="003615B7">
        <w:tc>
          <w:tcPr>
            <w:tcW w:w="10343" w:type="dxa"/>
            <w:gridSpan w:val="6"/>
            <w:shd w:val="clear" w:color="auto" w:fill="E6E6E6"/>
          </w:tcPr>
          <w:p w14:paraId="2E8A49AE" w14:textId="77777777" w:rsidR="00E958E5" w:rsidRPr="00D958C8" w:rsidRDefault="00E958E5" w:rsidP="00E958E5">
            <w:pPr>
              <w:spacing w:before="120" w:after="120"/>
              <w:rPr>
                <w:rFonts w:ascii="Arial" w:hAnsi="Arial" w:cs="Arial"/>
              </w:rPr>
            </w:pPr>
            <w:r w:rsidRPr="00D958C8">
              <w:rPr>
                <w:rFonts w:ascii="Arial" w:hAnsi="Arial" w:cs="Arial"/>
                <w:b/>
              </w:rPr>
              <w:t>Personal Qualities</w:t>
            </w:r>
          </w:p>
        </w:tc>
      </w:tr>
      <w:tr w:rsidR="00E958E5" w:rsidRPr="00D958C8" w14:paraId="6CE654E5" w14:textId="77777777" w:rsidTr="003615B7">
        <w:tc>
          <w:tcPr>
            <w:tcW w:w="8568" w:type="dxa"/>
            <w:gridSpan w:val="5"/>
            <w:shd w:val="clear" w:color="auto" w:fill="auto"/>
          </w:tcPr>
          <w:p w14:paraId="56948884" w14:textId="77777777" w:rsidR="00E958E5" w:rsidRPr="00D958C8" w:rsidRDefault="00E958E5" w:rsidP="00E958E5">
            <w:pPr>
              <w:spacing w:before="120" w:after="120"/>
              <w:rPr>
                <w:rFonts w:ascii="Arial" w:hAnsi="Arial" w:cs="Arial"/>
              </w:rPr>
            </w:pPr>
            <w:r w:rsidRPr="00D958C8">
              <w:rPr>
                <w:rFonts w:ascii="Arial" w:hAnsi="Arial" w:cs="Arial"/>
              </w:rPr>
              <w:t>Ability to forge partnerships and develop collaborative relationships.</w:t>
            </w:r>
          </w:p>
        </w:tc>
        <w:tc>
          <w:tcPr>
            <w:tcW w:w="1775" w:type="dxa"/>
          </w:tcPr>
          <w:p w14:paraId="1B46242B" w14:textId="77777777" w:rsidR="00E958E5" w:rsidRPr="00D958C8" w:rsidRDefault="00E958E5" w:rsidP="00E958E5">
            <w:pPr>
              <w:spacing w:before="120" w:after="120"/>
              <w:rPr>
                <w:rFonts w:ascii="Arial" w:hAnsi="Arial" w:cs="Arial"/>
              </w:rPr>
            </w:pPr>
            <w:r w:rsidRPr="00D958C8">
              <w:rPr>
                <w:rFonts w:ascii="Arial" w:hAnsi="Arial" w:cs="Arial"/>
              </w:rPr>
              <w:t>E</w:t>
            </w:r>
          </w:p>
        </w:tc>
      </w:tr>
      <w:tr w:rsidR="00E958E5" w:rsidRPr="00D958C8" w14:paraId="567DFC2F" w14:textId="77777777" w:rsidTr="003615B7">
        <w:tc>
          <w:tcPr>
            <w:tcW w:w="8568" w:type="dxa"/>
            <w:gridSpan w:val="5"/>
            <w:shd w:val="clear" w:color="auto" w:fill="auto"/>
          </w:tcPr>
          <w:p w14:paraId="5B53B5C6" w14:textId="77777777" w:rsidR="00E958E5" w:rsidRPr="00D958C8" w:rsidRDefault="00E958E5" w:rsidP="00E958E5">
            <w:pPr>
              <w:spacing w:before="120" w:after="120"/>
              <w:rPr>
                <w:rFonts w:ascii="Arial" w:hAnsi="Arial" w:cs="Arial"/>
              </w:rPr>
            </w:pPr>
            <w:r w:rsidRPr="00D958C8">
              <w:rPr>
                <w:rFonts w:ascii="Arial" w:hAnsi="Arial" w:cs="Arial"/>
              </w:rPr>
              <w:t xml:space="preserve">Ability to work </w:t>
            </w:r>
            <w:r>
              <w:rPr>
                <w:rFonts w:ascii="Arial" w:hAnsi="Arial" w:cs="Arial"/>
              </w:rPr>
              <w:t xml:space="preserve">both </w:t>
            </w:r>
            <w:r w:rsidRPr="00D958C8">
              <w:rPr>
                <w:rFonts w:ascii="Arial" w:hAnsi="Arial" w:cs="Arial"/>
              </w:rPr>
              <w:t>independently</w:t>
            </w:r>
            <w:r>
              <w:rPr>
                <w:rFonts w:ascii="Arial" w:hAnsi="Arial" w:cs="Arial"/>
              </w:rPr>
              <w:t xml:space="preserve"> and</w:t>
            </w:r>
            <w:r w:rsidRPr="00D958C8">
              <w:rPr>
                <w:rFonts w:ascii="Arial" w:hAnsi="Arial" w:cs="Arial"/>
              </w:rPr>
              <w:t xml:space="preserve"> flexibly, and as part of a team.</w:t>
            </w:r>
          </w:p>
        </w:tc>
        <w:tc>
          <w:tcPr>
            <w:tcW w:w="1775" w:type="dxa"/>
          </w:tcPr>
          <w:p w14:paraId="35714C04" w14:textId="77777777" w:rsidR="00E958E5" w:rsidRPr="00D958C8" w:rsidRDefault="00E958E5" w:rsidP="00E958E5">
            <w:pPr>
              <w:spacing w:before="120" w:after="120"/>
              <w:rPr>
                <w:rFonts w:ascii="Arial" w:hAnsi="Arial" w:cs="Arial"/>
              </w:rPr>
            </w:pPr>
            <w:r w:rsidRPr="00D958C8">
              <w:rPr>
                <w:rFonts w:ascii="Arial" w:hAnsi="Arial" w:cs="Arial"/>
              </w:rPr>
              <w:t>E</w:t>
            </w:r>
          </w:p>
        </w:tc>
      </w:tr>
      <w:tr w:rsidR="00E958E5" w:rsidRPr="00D958C8" w14:paraId="58633C5C" w14:textId="77777777" w:rsidTr="003615B7">
        <w:tc>
          <w:tcPr>
            <w:tcW w:w="8568" w:type="dxa"/>
            <w:gridSpan w:val="5"/>
            <w:shd w:val="clear" w:color="auto" w:fill="auto"/>
          </w:tcPr>
          <w:p w14:paraId="3A4082E6" w14:textId="77777777" w:rsidR="00E958E5" w:rsidRPr="00D958C8" w:rsidRDefault="00E958E5" w:rsidP="00E958E5">
            <w:pPr>
              <w:spacing w:before="120" w:after="120"/>
              <w:rPr>
                <w:rFonts w:ascii="Arial" w:hAnsi="Arial" w:cs="Arial"/>
              </w:rPr>
            </w:pPr>
            <w:r w:rsidRPr="00D958C8">
              <w:rPr>
                <w:rFonts w:ascii="Arial" w:hAnsi="Arial" w:cs="Arial"/>
              </w:rPr>
              <w:t xml:space="preserve">The ability to </w:t>
            </w:r>
            <w:r>
              <w:rPr>
                <w:rFonts w:ascii="Arial" w:hAnsi="Arial" w:cs="Arial"/>
              </w:rPr>
              <w:t xml:space="preserve">solve </w:t>
            </w:r>
            <w:r w:rsidRPr="00D958C8">
              <w:rPr>
                <w:rFonts w:ascii="Arial" w:hAnsi="Arial" w:cs="Arial"/>
              </w:rPr>
              <w:t>problem</w:t>
            </w:r>
            <w:r>
              <w:rPr>
                <w:rFonts w:ascii="Arial" w:hAnsi="Arial" w:cs="Arial"/>
              </w:rPr>
              <w:t>s</w:t>
            </w:r>
            <w:r w:rsidRPr="00D958C8">
              <w:rPr>
                <w:rFonts w:ascii="Arial" w:hAnsi="Arial" w:cs="Arial"/>
              </w:rPr>
              <w:t>, and to investigate</w:t>
            </w:r>
            <w:r>
              <w:rPr>
                <w:rFonts w:ascii="Arial" w:hAnsi="Arial" w:cs="Arial"/>
              </w:rPr>
              <w:t>, initiate and evaluate</w:t>
            </w:r>
            <w:r w:rsidRPr="00D958C8">
              <w:rPr>
                <w:rFonts w:ascii="Arial" w:hAnsi="Arial" w:cs="Arial"/>
              </w:rPr>
              <w:t xml:space="preserve"> </w:t>
            </w:r>
            <w:r>
              <w:rPr>
                <w:rFonts w:ascii="Arial" w:hAnsi="Arial" w:cs="Arial"/>
              </w:rPr>
              <w:t xml:space="preserve">solutions </w:t>
            </w:r>
          </w:p>
        </w:tc>
        <w:tc>
          <w:tcPr>
            <w:tcW w:w="1775" w:type="dxa"/>
          </w:tcPr>
          <w:p w14:paraId="57EA73A4" w14:textId="77777777" w:rsidR="00E958E5" w:rsidRPr="00D958C8" w:rsidRDefault="00E958E5" w:rsidP="00E958E5">
            <w:pPr>
              <w:spacing w:before="120" w:after="120"/>
              <w:rPr>
                <w:rFonts w:ascii="Arial" w:hAnsi="Arial" w:cs="Arial"/>
              </w:rPr>
            </w:pPr>
            <w:r w:rsidRPr="00D958C8">
              <w:rPr>
                <w:rFonts w:ascii="Arial" w:hAnsi="Arial" w:cs="Arial"/>
              </w:rPr>
              <w:t>E</w:t>
            </w:r>
          </w:p>
        </w:tc>
      </w:tr>
      <w:tr w:rsidR="00E958E5" w:rsidRPr="00D958C8" w14:paraId="3CE5340A" w14:textId="77777777" w:rsidTr="003615B7">
        <w:tc>
          <w:tcPr>
            <w:tcW w:w="8568" w:type="dxa"/>
            <w:gridSpan w:val="5"/>
            <w:shd w:val="clear" w:color="auto" w:fill="auto"/>
          </w:tcPr>
          <w:p w14:paraId="720F70D5" w14:textId="77777777" w:rsidR="00E958E5" w:rsidRPr="00D958C8" w:rsidRDefault="00E958E5" w:rsidP="00E958E5">
            <w:pPr>
              <w:rPr>
                <w:rFonts w:ascii="Arial" w:hAnsi="Arial" w:cs="Arial"/>
              </w:rPr>
            </w:pPr>
            <w:r w:rsidRPr="00D958C8">
              <w:rPr>
                <w:rFonts w:ascii="Arial" w:hAnsi="Arial" w:cs="Arial"/>
              </w:rPr>
              <w:t>Imagination and creativity.</w:t>
            </w:r>
          </w:p>
          <w:p w14:paraId="55688C4B" w14:textId="77777777" w:rsidR="00E958E5" w:rsidRPr="00D958C8" w:rsidRDefault="00E958E5" w:rsidP="00E958E5">
            <w:pPr>
              <w:rPr>
                <w:rFonts w:ascii="Arial" w:hAnsi="Arial" w:cs="Arial"/>
              </w:rPr>
            </w:pPr>
          </w:p>
        </w:tc>
        <w:tc>
          <w:tcPr>
            <w:tcW w:w="1775" w:type="dxa"/>
          </w:tcPr>
          <w:p w14:paraId="26DB0F43" w14:textId="77777777" w:rsidR="00E958E5" w:rsidRPr="00D958C8" w:rsidRDefault="00E958E5" w:rsidP="00E958E5">
            <w:pPr>
              <w:spacing w:before="120" w:after="120"/>
              <w:rPr>
                <w:rFonts w:ascii="Arial" w:hAnsi="Arial" w:cs="Arial"/>
              </w:rPr>
            </w:pPr>
            <w:r w:rsidRPr="00D958C8">
              <w:rPr>
                <w:rFonts w:ascii="Arial" w:hAnsi="Arial" w:cs="Arial"/>
              </w:rPr>
              <w:t>E</w:t>
            </w:r>
          </w:p>
        </w:tc>
      </w:tr>
      <w:tr w:rsidR="00E958E5" w:rsidRPr="00D958C8" w14:paraId="2ADEF067" w14:textId="77777777" w:rsidTr="003615B7">
        <w:tc>
          <w:tcPr>
            <w:tcW w:w="8568" w:type="dxa"/>
            <w:gridSpan w:val="5"/>
            <w:shd w:val="clear" w:color="auto" w:fill="auto"/>
          </w:tcPr>
          <w:p w14:paraId="400A2E09" w14:textId="77777777" w:rsidR="00E958E5" w:rsidRPr="00D958C8" w:rsidRDefault="00E958E5" w:rsidP="00E958E5">
            <w:pPr>
              <w:rPr>
                <w:rFonts w:ascii="Arial" w:hAnsi="Arial" w:cs="Arial"/>
              </w:rPr>
            </w:pPr>
            <w:r w:rsidRPr="00D958C8">
              <w:rPr>
                <w:rFonts w:ascii="Arial" w:hAnsi="Arial" w:cs="Arial"/>
              </w:rPr>
              <w:t>The confidence to innovate.</w:t>
            </w:r>
          </w:p>
        </w:tc>
        <w:tc>
          <w:tcPr>
            <w:tcW w:w="1775" w:type="dxa"/>
          </w:tcPr>
          <w:p w14:paraId="6194F745" w14:textId="77777777" w:rsidR="00E958E5" w:rsidRPr="00D958C8" w:rsidRDefault="00E958E5" w:rsidP="00E958E5">
            <w:pPr>
              <w:spacing w:before="120" w:after="120"/>
              <w:rPr>
                <w:rFonts w:ascii="Arial" w:hAnsi="Arial" w:cs="Arial"/>
              </w:rPr>
            </w:pPr>
            <w:r w:rsidRPr="00D958C8">
              <w:rPr>
                <w:rFonts w:ascii="Arial" w:hAnsi="Arial" w:cs="Arial"/>
              </w:rPr>
              <w:t>D</w:t>
            </w:r>
          </w:p>
        </w:tc>
      </w:tr>
    </w:tbl>
    <w:p w14:paraId="7AA3F017" w14:textId="77777777" w:rsidR="00E958E5" w:rsidRDefault="00E958E5" w:rsidP="00F93165">
      <w:pPr>
        <w:spacing w:after="0" w:line="276" w:lineRule="auto"/>
        <w:rPr>
          <w:rFonts w:ascii="Arial" w:hAnsi="Arial" w:cs="Arial"/>
        </w:rPr>
      </w:pPr>
    </w:p>
    <w:p w14:paraId="1D9A720F" w14:textId="77777777" w:rsidR="00295F5C" w:rsidRPr="00EB7FA7" w:rsidRDefault="00295F5C" w:rsidP="00F93165">
      <w:pPr>
        <w:spacing w:after="0" w:line="276" w:lineRule="auto"/>
        <w:rPr>
          <w:rFonts w:ascii="Arial" w:hAnsi="Arial" w:cs="Arial"/>
        </w:rPr>
      </w:pPr>
    </w:p>
    <w:sectPr w:rsidR="00295F5C" w:rsidRPr="00EB7FA7" w:rsidSect="000A0306">
      <w:headerReference w:type="first" r:id="rId9"/>
      <w:pgSz w:w="12240" w:h="15840" w:code="1"/>
      <w:pgMar w:top="1440" w:right="1440" w:bottom="1247"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8D5FAF" w14:textId="77777777" w:rsidR="000A0306" w:rsidRDefault="000A0306" w:rsidP="00AA2871">
      <w:pPr>
        <w:spacing w:after="0" w:line="240" w:lineRule="auto"/>
      </w:pPr>
      <w:r>
        <w:separator/>
      </w:r>
    </w:p>
  </w:endnote>
  <w:endnote w:type="continuationSeparator" w:id="0">
    <w:p w14:paraId="3268BC02" w14:textId="77777777" w:rsidR="000A0306" w:rsidRDefault="000A0306" w:rsidP="00AA28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Georgia">
    <w:altName w:val="Georgia"/>
    <w:panose1 w:val="02040502050405020303"/>
    <w:charset w:val="00"/>
    <w:family w:val="roman"/>
    <w:pitch w:val="variable"/>
    <w:sig w:usb0="00000287" w:usb1="00000000" w:usb2="00000000" w:usb3="00000000" w:csb0="0000009F" w:csb1="00000000"/>
  </w:font>
  <w:font w:name="Century Schoolbook">
    <w:altName w:val="Georgia"/>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2F12C7" w14:textId="77777777" w:rsidR="000A0306" w:rsidRDefault="000A0306" w:rsidP="00AA2871">
      <w:pPr>
        <w:spacing w:after="0" w:line="240" w:lineRule="auto"/>
      </w:pPr>
      <w:r>
        <w:separator/>
      </w:r>
    </w:p>
  </w:footnote>
  <w:footnote w:type="continuationSeparator" w:id="0">
    <w:p w14:paraId="4AAA0467" w14:textId="77777777" w:rsidR="000A0306" w:rsidRDefault="000A0306" w:rsidP="00AA28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A2E7A" w14:textId="147B36AA" w:rsidR="000A0306" w:rsidRDefault="000A0306">
    <w:pPr>
      <w:pStyle w:val="Header"/>
    </w:pPr>
    <w:r>
      <w:rPr>
        <w:noProof/>
        <w:lang w:eastAsia="en-GB"/>
      </w:rPr>
      <w:drawing>
        <wp:inline distT="0" distB="0" distL="0" distR="0" wp14:anchorId="7B55265D" wp14:editId="570C7898">
          <wp:extent cx="2273935" cy="9023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3935" cy="90233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44652"/>
    <w:multiLevelType w:val="hybridMultilevel"/>
    <w:tmpl w:val="EE98CEE2"/>
    <w:lvl w:ilvl="0" w:tplc="F15AAE16">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FA594D"/>
    <w:multiLevelType w:val="hybridMultilevel"/>
    <w:tmpl w:val="95EAA7EA"/>
    <w:lvl w:ilvl="0" w:tplc="DCDECD3A">
      <w:start w:val="1"/>
      <w:numFmt w:val="bullet"/>
      <w:pStyle w:val="BulletPoints"/>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190C0498"/>
    <w:multiLevelType w:val="hybridMultilevel"/>
    <w:tmpl w:val="EE5E4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7B158E"/>
    <w:multiLevelType w:val="hybridMultilevel"/>
    <w:tmpl w:val="413CF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264101"/>
    <w:multiLevelType w:val="hybridMultilevel"/>
    <w:tmpl w:val="133073EE"/>
    <w:lvl w:ilvl="0" w:tplc="04090005">
      <w:start w:val="1"/>
      <w:numFmt w:val="bullet"/>
      <w:lvlText w:val=""/>
      <w:lvlJc w:val="left"/>
      <w:pPr>
        <w:tabs>
          <w:tab w:val="num" w:pos="360"/>
        </w:tabs>
        <w:ind w:left="360" w:hanging="360"/>
      </w:pPr>
      <w:rPr>
        <w:rFonts w:ascii="Wingdings" w:hAnsi="Wingdings"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6B444D2"/>
    <w:multiLevelType w:val="hybridMultilevel"/>
    <w:tmpl w:val="EACE5D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57B4BF7"/>
    <w:multiLevelType w:val="hybridMultilevel"/>
    <w:tmpl w:val="808E4F6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E8469FA"/>
    <w:multiLevelType w:val="hybridMultilevel"/>
    <w:tmpl w:val="F04C4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BF4BCB"/>
    <w:multiLevelType w:val="hybridMultilevel"/>
    <w:tmpl w:val="DA5C94B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76281C72"/>
    <w:multiLevelType w:val="hybridMultilevel"/>
    <w:tmpl w:val="E6CEF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B0F3523"/>
    <w:multiLevelType w:val="hybridMultilevel"/>
    <w:tmpl w:val="5D1425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5"/>
  </w:num>
  <w:num w:numId="4">
    <w:abstractNumId w:val="10"/>
  </w:num>
  <w:num w:numId="5">
    <w:abstractNumId w:val="9"/>
  </w:num>
  <w:num w:numId="6">
    <w:abstractNumId w:val="1"/>
  </w:num>
  <w:num w:numId="7">
    <w:abstractNumId w:val="4"/>
  </w:num>
  <w:num w:numId="8">
    <w:abstractNumId w:val="0"/>
  </w:num>
  <w:num w:numId="9">
    <w:abstractNumId w:val="3"/>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FDA"/>
    <w:rsid w:val="00003C54"/>
    <w:rsid w:val="00041439"/>
    <w:rsid w:val="00072E1B"/>
    <w:rsid w:val="00080619"/>
    <w:rsid w:val="0009580B"/>
    <w:rsid w:val="000A0306"/>
    <w:rsid w:val="000A7DCF"/>
    <w:rsid w:val="00136C0D"/>
    <w:rsid w:val="00153AE3"/>
    <w:rsid w:val="00161F95"/>
    <w:rsid w:val="00295F5C"/>
    <w:rsid w:val="002F6D46"/>
    <w:rsid w:val="003130C3"/>
    <w:rsid w:val="003615B7"/>
    <w:rsid w:val="00396C99"/>
    <w:rsid w:val="003D5B0C"/>
    <w:rsid w:val="00474838"/>
    <w:rsid w:val="004C7B57"/>
    <w:rsid w:val="004E046B"/>
    <w:rsid w:val="004E0FDA"/>
    <w:rsid w:val="004F074D"/>
    <w:rsid w:val="00506026"/>
    <w:rsid w:val="005069ED"/>
    <w:rsid w:val="0070316F"/>
    <w:rsid w:val="00736245"/>
    <w:rsid w:val="00833BA4"/>
    <w:rsid w:val="00892D09"/>
    <w:rsid w:val="008A73E6"/>
    <w:rsid w:val="008E0F0B"/>
    <w:rsid w:val="00926C3D"/>
    <w:rsid w:val="00947703"/>
    <w:rsid w:val="009C3CD0"/>
    <w:rsid w:val="009F4998"/>
    <w:rsid w:val="00A91AFE"/>
    <w:rsid w:val="00AA2871"/>
    <w:rsid w:val="00B62B93"/>
    <w:rsid w:val="00CA1D6D"/>
    <w:rsid w:val="00CC2ABA"/>
    <w:rsid w:val="00D00197"/>
    <w:rsid w:val="00D21BCC"/>
    <w:rsid w:val="00D74537"/>
    <w:rsid w:val="00E87D13"/>
    <w:rsid w:val="00E958E5"/>
    <w:rsid w:val="00EB7FA7"/>
    <w:rsid w:val="00F64212"/>
    <w:rsid w:val="00F7728C"/>
    <w:rsid w:val="00F93165"/>
    <w:rsid w:val="00FA26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9B49475"/>
  <w15:chartTrackingRefBased/>
  <w15:docId w15:val="{1FC70037-0FD0-4DFC-8510-ABE072C35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3BA4"/>
    <w:pPr>
      <w:ind w:left="720"/>
      <w:contextualSpacing/>
    </w:pPr>
  </w:style>
  <w:style w:type="paragraph" w:styleId="Header">
    <w:name w:val="header"/>
    <w:aliases w:val="Main Heading"/>
    <w:basedOn w:val="Normal"/>
    <w:link w:val="HeaderChar"/>
    <w:unhideWhenUsed/>
    <w:rsid w:val="00AA2871"/>
    <w:pPr>
      <w:tabs>
        <w:tab w:val="center" w:pos="4513"/>
        <w:tab w:val="right" w:pos="9026"/>
      </w:tabs>
      <w:spacing w:after="0" w:line="240" w:lineRule="auto"/>
    </w:pPr>
  </w:style>
  <w:style w:type="character" w:customStyle="1" w:styleId="HeaderChar">
    <w:name w:val="Header Char"/>
    <w:aliases w:val="Main Heading Char"/>
    <w:basedOn w:val="DefaultParagraphFont"/>
    <w:link w:val="Header"/>
    <w:rsid w:val="00AA2871"/>
  </w:style>
  <w:style w:type="paragraph" w:styleId="Footer">
    <w:name w:val="footer"/>
    <w:basedOn w:val="Normal"/>
    <w:link w:val="FooterChar"/>
    <w:uiPriority w:val="99"/>
    <w:unhideWhenUsed/>
    <w:rsid w:val="00AA28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2871"/>
  </w:style>
  <w:style w:type="character" w:styleId="Hyperlink">
    <w:name w:val="Hyperlink"/>
    <w:basedOn w:val="DefaultParagraphFont"/>
    <w:rsid w:val="008E0F0B"/>
    <w:rPr>
      <w:color w:val="0000FF"/>
      <w:u w:val="single"/>
    </w:rPr>
  </w:style>
  <w:style w:type="paragraph" w:styleId="PlainText">
    <w:name w:val="Plain Text"/>
    <w:basedOn w:val="Normal"/>
    <w:link w:val="PlainTextChar"/>
    <w:uiPriority w:val="99"/>
    <w:unhideWhenUsed/>
    <w:rsid w:val="008E0F0B"/>
    <w:pPr>
      <w:spacing w:after="0" w:line="240" w:lineRule="auto"/>
    </w:pPr>
    <w:rPr>
      <w:rFonts w:ascii="Consolas" w:eastAsia="Calibri" w:hAnsi="Consolas" w:cs="Times New Roman"/>
      <w:sz w:val="21"/>
      <w:szCs w:val="21"/>
      <w:lang w:val="en-US"/>
    </w:rPr>
  </w:style>
  <w:style w:type="character" w:customStyle="1" w:styleId="PlainTextChar">
    <w:name w:val="Plain Text Char"/>
    <w:basedOn w:val="DefaultParagraphFont"/>
    <w:link w:val="PlainText"/>
    <w:uiPriority w:val="99"/>
    <w:rsid w:val="008E0F0B"/>
    <w:rPr>
      <w:rFonts w:ascii="Consolas" w:eastAsia="Calibri" w:hAnsi="Consolas" w:cs="Times New Roman"/>
      <w:sz w:val="21"/>
      <w:szCs w:val="21"/>
      <w:lang w:val="en-US"/>
    </w:rPr>
  </w:style>
  <w:style w:type="character" w:styleId="CommentReference">
    <w:name w:val="annotation reference"/>
    <w:basedOn w:val="DefaultParagraphFont"/>
    <w:uiPriority w:val="99"/>
    <w:semiHidden/>
    <w:unhideWhenUsed/>
    <w:rsid w:val="00FA2650"/>
    <w:rPr>
      <w:sz w:val="16"/>
      <w:szCs w:val="16"/>
    </w:rPr>
  </w:style>
  <w:style w:type="paragraph" w:styleId="CommentText">
    <w:name w:val="annotation text"/>
    <w:basedOn w:val="Normal"/>
    <w:link w:val="CommentTextChar"/>
    <w:unhideWhenUsed/>
    <w:rsid w:val="00FA2650"/>
    <w:pPr>
      <w:spacing w:line="240" w:lineRule="auto"/>
    </w:pPr>
    <w:rPr>
      <w:sz w:val="20"/>
      <w:szCs w:val="20"/>
    </w:rPr>
  </w:style>
  <w:style w:type="character" w:customStyle="1" w:styleId="CommentTextChar">
    <w:name w:val="Comment Text Char"/>
    <w:basedOn w:val="DefaultParagraphFont"/>
    <w:link w:val="CommentText"/>
    <w:rsid w:val="00FA2650"/>
    <w:rPr>
      <w:sz w:val="20"/>
      <w:szCs w:val="20"/>
    </w:rPr>
  </w:style>
  <w:style w:type="paragraph" w:styleId="BalloonText">
    <w:name w:val="Balloon Text"/>
    <w:basedOn w:val="Normal"/>
    <w:link w:val="BalloonTextChar"/>
    <w:uiPriority w:val="99"/>
    <w:semiHidden/>
    <w:unhideWhenUsed/>
    <w:rsid w:val="00FA26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2650"/>
    <w:rPr>
      <w:rFonts w:ascii="Segoe UI" w:hAnsi="Segoe UI" w:cs="Segoe UI"/>
      <w:sz w:val="18"/>
      <w:szCs w:val="18"/>
    </w:rPr>
  </w:style>
  <w:style w:type="paragraph" w:customStyle="1" w:styleId="BulletPoints">
    <w:name w:val="Bullet Points"/>
    <w:basedOn w:val="Normal"/>
    <w:qFormat/>
    <w:rsid w:val="00041439"/>
    <w:pPr>
      <w:numPr>
        <w:numId w:val="6"/>
      </w:numPr>
      <w:spacing w:after="0" w:line="288" w:lineRule="auto"/>
      <w:jc w:val="both"/>
    </w:pPr>
    <w:rPr>
      <w:rFonts w:ascii="Georgia" w:eastAsia="Times New Roman" w:hAnsi="Georgia" w:cs="Times New Roman"/>
      <w:color w:val="000000" w:themeColor="text1"/>
      <w:spacing w:val="-8"/>
      <w:sz w:val="17"/>
      <w:szCs w:val="17"/>
      <w:lang w:eastAsia="en-GB"/>
    </w:rPr>
  </w:style>
  <w:style w:type="paragraph" w:customStyle="1" w:styleId="Heading">
    <w:name w:val="Heading"/>
    <w:basedOn w:val="Normal"/>
    <w:qFormat/>
    <w:rsid w:val="00041439"/>
    <w:pPr>
      <w:spacing w:before="360" w:after="60" w:line="288" w:lineRule="auto"/>
      <w:jc w:val="both"/>
    </w:pPr>
    <w:rPr>
      <w:rFonts w:ascii="Georgia" w:eastAsia="Times New Roman" w:hAnsi="Georgia" w:cs="Times New Roman"/>
      <w:b/>
      <w:caps/>
      <w:color w:val="000000" w:themeColor="text1"/>
      <w:spacing w:val="-8"/>
      <w:sz w:val="16"/>
      <w:szCs w:val="16"/>
      <w:lang w:eastAsia="en-GB"/>
    </w:rPr>
  </w:style>
  <w:style w:type="character" w:customStyle="1" w:styleId="TitleIChar">
    <w:name w:val="Title I Char"/>
    <w:basedOn w:val="DefaultParagraphFont"/>
    <w:link w:val="TitleI"/>
    <w:locked/>
    <w:rsid w:val="00041439"/>
    <w:rPr>
      <w:sz w:val="32"/>
    </w:rPr>
  </w:style>
  <w:style w:type="paragraph" w:customStyle="1" w:styleId="TitleI">
    <w:name w:val="Title I"/>
    <w:basedOn w:val="Normal"/>
    <w:link w:val="TitleIChar"/>
    <w:qFormat/>
    <w:rsid w:val="00041439"/>
    <w:pPr>
      <w:spacing w:after="60" w:line="288" w:lineRule="auto"/>
      <w:jc w:val="both"/>
    </w:pPr>
    <w:rPr>
      <w:sz w:val="32"/>
    </w:rPr>
  </w:style>
  <w:style w:type="character" w:customStyle="1" w:styleId="TitleIIChar">
    <w:name w:val="Title II Char"/>
    <w:basedOn w:val="DefaultParagraphFont"/>
    <w:link w:val="TitleII"/>
    <w:locked/>
    <w:rsid w:val="00041439"/>
    <w:rPr>
      <w:sz w:val="24"/>
    </w:rPr>
  </w:style>
  <w:style w:type="paragraph" w:customStyle="1" w:styleId="TitleII">
    <w:name w:val="Title II"/>
    <w:basedOn w:val="Normal"/>
    <w:link w:val="TitleIIChar"/>
    <w:qFormat/>
    <w:rsid w:val="00041439"/>
    <w:pPr>
      <w:spacing w:before="60" w:after="60" w:line="288" w:lineRule="auto"/>
      <w:jc w:val="both"/>
    </w:pPr>
    <w:rPr>
      <w:sz w:val="24"/>
    </w:rPr>
  </w:style>
  <w:style w:type="paragraph" w:customStyle="1" w:styleId="Textcopy">
    <w:name w:val="Text copy"/>
    <w:basedOn w:val="Normal"/>
    <w:qFormat/>
    <w:rsid w:val="00041439"/>
    <w:pPr>
      <w:spacing w:after="120" w:line="288" w:lineRule="auto"/>
    </w:pPr>
    <w:rPr>
      <w:rFonts w:ascii="Century Schoolbook" w:eastAsia="Times New Roman" w:hAnsi="Century Schoolbook" w:cs="Times New Roman"/>
      <w:spacing w:val="-8"/>
      <w:sz w:val="19"/>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7324543">
      <w:bodyDiv w:val="1"/>
      <w:marLeft w:val="0"/>
      <w:marRight w:val="0"/>
      <w:marTop w:val="0"/>
      <w:marBottom w:val="0"/>
      <w:divBdr>
        <w:top w:val="none" w:sz="0" w:space="0" w:color="auto"/>
        <w:left w:val="none" w:sz="0" w:space="0" w:color="auto"/>
        <w:bottom w:val="none" w:sz="0" w:space="0" w:color="auto"/>
        <w:right w:val="none" w:sz="0" w:space="0" w:color="auto"/>
      </w:divBdr>
    </w:div>
    <w:div w:id="1676683550">
      <w:bodyDiv w:val="1"/>
      <w:marLeft w:val="0"/>
      <w:marRight w:val="0"/>
      <w:marTop w:val="0"/>
      <w:marBottom w:val="0"/>
      <w:divBdr>
        <w:top w:val="none" w:sz="0" w:space="0" w:color="auto"/>
        <w:left w:val="none" w:sz="0" w:space="0" w:color="auto"/>
        <w:bottom w:val="none" w:sz="0" w:space="0" w:color="auto"/>
        <w:right w:val="none" w:sz="0" w:space="0" w:color="auto"/>
      </w:divBdr>
    </w:div>
    <w:div w:id="212757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nuffieldfoundation.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D0B0D6-7712-4104-8780-5EA2AA874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FEB6972.dotm</Template>
  <TotalTime>0</TotalTime>
  <Pages>6</Pages>
  <Words>1928</Words>
  <Characters>10992</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Janine Larson</dc:creator>
  <cp:keywords/>
  <dc:description/>
  <cp:lastModifiedBy>Frances Bright</cp:lastModifiedBy>
  <cp:revision>2</cp:revision>
  <cp:lastPrinted>2017-03-16T13:17:00Z</cp:lastPrinted>
  <dcterms:created xsi:type="dcterms:W3CDTF">2017-03-22T10:23:00Z</dcterms:created>
  <dcterms:modified xsi:type="dcterms:W3CDTF">2017-03-22T10:23:00Z</dcterms:modified>
</cp:coreProperties>
</file>